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Default="00E06244">
      <w:pPr>
        <w:widowControl/>
        <w:overflowPunct w:val="0"/>
        <w:spacing w:beforeAutospacing="1" w:afterAutospacing="1" w:line="240" w:lineRule="auto"/>
        <w:ind w:firstLine="0"/>
        <w:jc w:val="center"/>
        <w:outlineLvl w:val="0"/>
      </w:pPr>
      <w:r>
        <w:rPr>
          <w:rFonts w:ascii="Times New Roman" w:hAnsi="Times New Roman" w:cs="Times New Roman"/>
          <w:b/>
          <w:bCs/>
          <w:color w:val="00000A"/>
          <w:sz w:val="48"/>
          <w:szCs w:val="48"/>
          <w:lang w:eastAsia="cs-CZ"/>
        </w:rPr>
        <w:t>Informace a odpovědi na dotazy ze Sociáln</w:t>
      </w:r>
      <w:r w:rsidR="004D1C77">
        <w:rPr>
          <w:rFonts w:ascii="Times New Roman" w:hAnsi="Times New Roman" w:cs="Times New Roman"/>
          <w:b/>
          <w:bCs/>
          <w:color w:val="00000A"/>
          <w:sz w:val="48"/>
          <w:szCs w:val="48"/>
          <w:lang w:eastAsia="cs-CZ"/>
        </w:rPr>
        <w:t xml:space="preserve">ě právní poradny SONS v Praze </w:t>
      </w:r>
      <w:r w:rsidR="005546C1">
        <w:rPr>
          <w:rFonts w:ascii="Times New Roman" w:hAnsi="Times New Roman" w:cs="Times New Roman"/>
          <w:b/>
          <w:bCs/>
          <w:color w:val="00000A"/>
          <w:sz w:val="48"/>
          <w:szCs w:val="48"/>
          <w:lang w:eastAsia="cs-CZ"/>
        </w:rPr>
        <w:t>0</w:t>
      </w:r>
      <w:r w:rsidR="00C27805">
        <w:rPr>
          <w:rFonts w:ascii="Times New Roman" w:hAnsi="Times New Roman" w:cs="Times New Roman"/>
          <w:b/>
          <w:bCs/>
          <w:color w:val="00000A"/>
          <w:sz w:val="48"/>
          <w:szCs w:val="48"/>
          <w:lang w:eastAsia="cs-CZ"/>
        </w:rPr>
        <w:t>3</w:t>
      </w:r>
      <w:r w:rsidR="005546C1">
        <w:rPr>
          <w:rFonts w:ascii="Times New Roman" w:hAnsi="Times New Roman" w:cs="Times New Roman"/>
          <w:b/>
          <w:bCs/>
          <w:color w:val="00000A"/>
          <w:sz w:val="48"/>
          <w:szCs w:val="48"/>
          <w:lang w:eastAsia="cs-CZ"/>
        </w:rPr>
        <w:t>/2019</w:t>
      </w:r>
    </w:p>
    <w:p w:rsidR="004D1C77" w:rsidRDefault="001B3C11" w:rsidP="00E0624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1B3C11">
        <w:rPr>
          <w:rFonts w:ascii="Times New Roman" w:hAnsi="Times New Roman" w:cs="Times New Roman"/>
          <w:color w:val="00000A"/>
          <w:sz w:val="24"/>
          <w:szCs w:val="24"/>
          <w:lang w:eastAsia="cs-CZ"/>
        </w:rPr>
        <w:t>O obsah následujících řádků se postarala zejména rozhodnutí Poslanecké sněmovny Parlamentu České republiky, která ukončila legislativní proces dlouho diskutovaných zákonných novel. Ty již mají za sebou pouť do Senátu, který se je pokusil pozměňovacími návrhy vylepšit, ale poslanci pak senátorských návrhů nedbali a setrvali na novelách v</w:t>
      </w:r>
      <w:r w:rsidR="00791A90">
        <w:rPr>
          <w:rFonts w:ascii="Times New Roman" w:hAnsi="Times New Roman" w:cs="Times New Roman"/>
          <w:color w:val="00000A"/>
          <w:sz w:val="24"/>
          <w:szCs w:val="24"/>
          <w:lang w:eastAsia="cs-CZ"/>
        </w:rPr>
        <w:t> </w:t>
      </w:r>
      <w:r w:rsidRPr="001B3C11">
        <w:rPr>
          <w:rFonts w:ascii="Times New Roman" w:hAnsi="Times New Roman" w:cs="Times New Roman"/>
          <w:color w:val="00000A"/>
          <w:sz w:val="24"/>
          <w:szCs w:val="24"/>
          <w:lang w:eastAsia="cs-CZ"/>
        </w:rPr>
        <w:t>původní podobě. To platí jak</w:t>
      </w:r>
      <w:r w:rsidR="00BD6FB6">
        <w:rPr>
          <w:rFonts w:ascii="Times New Roman" w:hAnsi="Times New Roman" w:cs="Times New Roman"/>
          <w:color w:val="00000A"/>
          <w:sz w:val="24"/>
          <w:szCs w:val="24"/>
          <w:lang w:eastAsia="cs-CZ"/>
        </w:rPr>
        <w:t>:</w:t>
      </w:r>
      <w:r w:rsidR="004D1C77" w:rsidRPr="004D1C77">
        <w:rPr>
          <w:rFonts w:ascii="Times New Roman" w:hAnsi="Times New Roman" w:cs="Times New Roman"/>
          <w:color w:val="00000A"/>
          <w:sz w:val="24"/>
          <w:szCs w:val="24"/>
          <w:lang w:eastAsia="cs-CZ"/>
        </w:rPr>
        <w:t xml:space="preserve"> </w:t>
      </w:r>
    </w:p>
    <w:p w:rsidR="00457DF9" w:rsidRDefault="009F0739" w:rsidP="00BD6FB6">
      <w:pPr>
        <w:widowControl/>
        <w:numPr>
          <w:ilvl w:val="0"/>
          <w:numId w:val="1"/>
        </w:numPr>
        <w:overflowPunct w:val="0"/>
        <w:spacing w:beforeAutospacing="1" w:afterAutospacing="1" w:line="240" w:lineRule="auto"/>
        <w:rPr>
          <w:sz w:val="24"/>
          <w:szCs w:val="24"/>
        </w:rPr>
      </w:pPr>
      <w:hyperlink w:anchor="Konec_karencni_doby" w:history="1">
        <w:r w:rsidR="00BD6FB6" w:rsidRPr="00754FE6">
          <w:rPr>
            <w:rStyle w:val="Hypertextovodkaz"/>
            <w:sz w:val="24"/>
            <w:szCs w:val="24"/>
          </w:rPr>
          <w:t>zrušení karenční doby</w:t>
        </w:r>
      </w:hyperlink>
      <w:r w:rsidR="00BD6FB6" w:rsidRPr="00BD6FB6">
        <w:rPr>
          <w:sz w:val="24"/>
          <w:szCs w:val="24"/>
        </w:rPr>
        <w:t>, tak</w:t>
      </w:r>
    </w:p>
    <w:p w:rsidR="005546C1" w:rsidRDefault="009F0739" w:rsidP="00BD6FB6">
      <w:pPr>
        <w:widowControl/>
        <w:numPr>
          <w:ilvl w:val="0"/>
          <w:numId w:val="1"/>
        </w:numPr>
        <w:overflowPunct w:val="0"/>
        <w:spacing w:beforeAutospacing="1" w:afterAutospacing="1" w:line="240" w:lineRule="auto"/>
        <w:rPr>
          <w:sz w:val="24"/>
          <w:szCs w:val="24"/>
        </w:rPr>
      </w:pPr>
      <w:hyperlink w:anchor="Novela_insolvencniho_zakona" w:history="1">
        <w:proofErr w:type="gramStart"/>
        <w:r w:rsidR="00BD6FB6" w:rsidRPr="00754FE6">
          <w:rPr>
            <w:rStyle w:val="Hypertextovodkaz"/>
            <w:sz w:val="24"/>
            <w:szCs w:val="24"/>
          </w:rPr>
          <w:t>změnách</w:t>
        </w:r>
        <w:proofErr w:type="gramEnd"/>
        <w:r w:rsidR="00BD6FB6" w:rsidRPr="00754FE6">
          <w:rPr>
            <w:rStyle w:val="Hypertextovodkaz"/>
            <w:sz w:val="24"/>
            <w:szCs w:val="24"/>
          </w:rPr>
          <w:t xml:space="preserve"> v oddlužení fyzických osob</w:t>
        </w:r>
      </w:hyperlink>
      <w:r w:rsidR="00BD6FB6" w:rsidRPr="00BD6FB6">
        <w:rPr>
          <w:sz w:val="24"/>
          <w:szCs w:val="24"/>
        </w:rPr>
        <w:t>. Dále informujeme</w:t>
      </w:r>
    </w:p>
    <w:p w:rsidR="00BD6FB6" w:rsidRDefault="009F0739" w:rsidP="00BD6FB6">
      <w:pPr>
        <w:widowControl/>
        <w:numPr>
          <w:ilvl w:val="0"/>
          <w:numId w:val="1"/>
        </w:numPr>
        <w:overflowPunct w:val="0"/>
        <w:spacing w:beforeAutospacing="1" w:afterAutospacing="1" w:line="240" w:lineRule="auto"/>
        <w:rPr>
          <w:sz w:val="24"/>
          <w:szCs w:val="24"/>
        </w:rPr>
      </w:pPr>
      <w:hyperlink w:anchor="Zvyseni_prispevku_na_peci" w:history="1">
        <w:r w:rsidR="00BD6FB6" w:rsidRPr="00754FE6">
          <w:rPr>
            <w:rStyle w:val="Hypertextovodkaz"/>
            <w:sz w:val="24"/>
            <w:szCs w:val="24"/>
          </w:rPr>
          <w:t xml:space="preserve">nových </w:t>
        </w:r>
        <w:proofErr w:type="gramStart"/>
        <w:r w:rsidR="00BD6FB6" w:rsidRPr="00754FE6">
          <w:rPr>
            <w:rStyle w:val="Hypertextovodkaz"/>
            <w:sz w:val="24"/>
            <w:szCs w:val="24"/>
          </w:rPr>
          <w:t>výších</w:t>
        </w:r>
        <w:proofErr w:type="gramEnd"/>
        <w:r w:rsidR="00BD6FB6" w:rsidRPr="00754FE6">
          <w:rPr>
            <w:rStyle w:val="Hypertextovodkaz"/>
            <w:sz w:val="24"/>
            <w:szCs w:val="24"/>
          </w:rPr>
          <w:t xml:space="preserve"> příspěvku na péči v některých stupních</w:t>
        </w:r>
      </w:hyperlink>
      <w:r w:rsidR="00BD6FB6" w:rsidRPr="00BD6FB6">
        <w:rPr>
          <w:sz w:val="24"/>
          <w:szCs w:val="24"/>
        </w:rPr>
        <w:t xml:space="preserve"> a</w:t>
      </w:r>
    </w:p>
    <w:p w:rsidR="00BD6FB6" w:rsidRPr="00457DF9" w:rsidRDefault="009F0739" w:rsidP="00BD6FB6">
      <w:pPr>
        <w:widowControl/>
        <w:numPr>
          <w:ilvl w:val="0"/>
          <w:numId w:val="1"/>
        </w:numPr>
        <w:overflowPunct w:val="0"/>
        <w:spacing w:beforeAutospacing="1" w:afterAutospacing="1" w:line="240" w:lineRule="auto"/>
        <w:rPr>
          <w:sz w:val="24"/>
          <w:szCs w:val="24"/>
        </w:rPr>
      </w:pPr>
      <w:hyperlink w:anchor="Zmeny_u_DPC" w:history="1">
        <w:r w:rsidR="00BD6FB6" w:rsidRPr="00754FE6">
          <w:rPr>
            <w:rStyle w:val="Hypertextovodkaz"/>
            <w:sz w:val="24"/>
            <w:szCs w:val="24"/>
          </w:rPr>
          <w:t>drobné změně týkající se dohody o pracovní činnosti</w:t>
        </w:r>
      </w:hyperlink>
      <w:r w:rsidR="00BD6FB6" w:rsidRPr="00BD6FB6">
        <w:rPr>
          <w:sz w:val="24"/>
          <w:szCs w:val="24"/>
        </w:rPr>
        <w:t>.</w:t>
      </w:r>
    </w:p>
    <w:p w:rsidR="004D1C77" w:rsidRPr="004D1C77" w:rsidRDefault="0072554B" w:rsidP="00754FE6">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0" w:name="Zmeny_u_DPC"/>
      <w:r w:rsidRPr="0072554B">
        <w:rPr>
          <w:rFonts w:ascii="Times New Roman" w:hAnsi="Times New Roman" w:cs="Times New Roman"/>
          <w:b/>
          <w:bCs/>
          <w:color w:val="00000A"/>
          <w:sz w:val="36"/>
          <w:szCs w:val="36"/>
          <w:lang w:eastAsia="cs-CZ"/>
        </w:rPr>
        <w:t>Co se o daních z příjmu nedozvíte aneb o změně u dohody o pracovní činnosti</w:t>
      </w:r>
    </w:p>
    <w:p w:rsidR="0072554B" w:rsidRPr="0072554B" w:rsidRDefault="0072554B" w:rsidP="0072554B">
      <w:pPr>
        <w:widowControl/>
        <w:overflowPunct w:val="0"/>
        <w:spacing w:beforeAutospacing="1" w:afterAutospacing="1" w:line="240" w:lineRule="auto"/>
        <w:ind w:firstLine="0"/>
        <w:outlineLvl w:val="1"/>
        <w:rPr>
          <w:rFonts w:ascii="Times New Roman" w:hAnsi="Times New Roman" w:cs="Times New Roman"/>
          <w:color w:val="00000A"/>
          <w:sz w:val="24"/>
          <w:szCs w:val="24"/>
          <w:lang w:eastAsia="cs-CZ"/>
        </w:rPr>
      </w:pPr>
      <w:bookmarkStart w:id="1" w:name="__DdeLink__254_46380079"/>
      <w:bookmarkEnd w:id="0"/>
      <w:bookmarkEnd w:id="1"/>
      <w:r w:rsidRPr="0072554B">
        <w:rPr>
          <w:rFonts w:ascii="Times New Roman" w:hAnsi="Times New Roman" w:cs="Times New Roman"/>
          <w:color w:val="00000A"/>
          <w:sz w:val="24"/>
          <w:szCs w:val="24"/>
          <w:lang w:eastAsia="cs-CZ"/>
        </w:rPr>
        <w:t>Ve třetích článcích příslušných kalendářních roků, které se k Vám dostávají na rozhraní měsíců února a března, jsme v několika předcházejících letech informovali o povinnostech souvisejících s daněmi z příjmů. V letošním roce však v této oblasti nedochází k žádným podstatnějším změnám, proto se omezíme jen na konstatování, že ti, kdo sami podávají daňové přiznání, by tak měli učinit do konce března 2019, ty subjekty, které mají povinnost předložit účetní závěrku ověřenou auditorem a ti, za něž podává přiznání daňový poradce, mají čas až do konce června; ovšem do konce března musí finančnímu úřadu prokázat plnou moc udělenou poradci.</w:t>
      </w:r>
    </w:p>
    <w:p w:rsidR="0072554B" w:rsidRPr="0072554B" w:rsidRDefault="0072554B" w:rsidP="0072554B">
      <w:pPr>
        <w:widowControl/>
        <w:overflowPunct w:val="0"/>
        <w:spacing w:beforeAutospacing="1" w:afterAutospacing="1" w:line="240" w:lineRule="auto"/>
        <w:ind w:firstLine="0"/>
        <w:outlineLvl w:val="1"/>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Slevy z daně, odpočitatelné položky od základu daně ani další parametry nezaznamenaly žádné zásadnější změny, proto zájemce o další informace z této oblasti odkazujeme na články této rubriky z let 2018 a 2017.</w:t>
      </w:r>
    </w:p>
    <w:p w:rsidR="0072554B" w:rsidRDefault="0072554B" w:rsidP="0072554B">
      <w:pPr>
        <w:widowControl/>
        <w:overflowPunct w:val="0"/>
        <w:spacing w:beforeAutospacing="1" w:afterAutospacing="1" w:line="240" w:lineRule="auto"/>
        <w:ind w:firstLine="0"/>
        <w:outlineLvl w:val="1"/>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Zmínit bychom v této souvislosti však měli změnu částky rozhodného příjmu, od kterého je pojištěnec povinen odvádět odvody na zdravotní a sociální pojištění, jde-li o vztah na základě dohody o pracovní činnosti. Částka se zvyšuje z</w:t>
      </w:r>
      <w:r>
        <w:rPr>
          <w:rFonts w:ascii="Times New Roman" w:hAnsi="Times New Roman" w:cs="Times New Roman"/>
          <w:color w:val="00000A"/>
          <w:sz w:val="24"/>
          <w:szCs w:val="24"/>
          <w:lang w:eastAsia="cs-CZ"/>
        </w:rPr>
        <w:t> </w:t>
      </w:r>
      <w:r w:rsidRPr="0072554B">
        <w:rPr>
          <w:rFonts w:ascii="Times New Roman" w:hAnsi="Times New Roman" w:cs="Times New Roman"/>
          <w:color w:val="00000A"/>
          <w:sz w:val="24"/>
          <w:szCs w:val="24"/>
          <w:lang w:eastAsia="cs-CZ"/>
        </w:rPr>
        <w:t>2</w:t>
      </w:r>
      <w:r>
        <w:rPr>
          <w:rFonts w:ascii="Times New Roman" w:hAnsi="Times New Roman" w:cs="Times New Roman"/>
          <w:color w:val="00000A"/>
          <w:sz w:val="24"/>
          <w:szCs w:val="24"/>
          <w:lang w:eastAsia="cs-CZ"/>
        </w:rPr>
        <w:t> </w:t>
      </w:r>
      <w:r w:rsidRPr="0072554B">
        <w:rPr>
          <w:rFonts w:ascii="Times New Roman" w:hAnsi="Times New Roman" w:cs="Times New Roman"/>
          <w:color w:val="00000A"/>
          <w:sz w:val="24"/>
          <w:szCs w:val="24"/>
          <w:lang w:eastAsia="cs-CZ"/>
        </w:rPr>
        <w:t>500</w:t>
      </w:r>
      <w:r>
        <w:rPr>
          <w:rFonts w:ascii="Times New Roman" w:hAnsi="Times New Roman" w:cs="Times New Roman"/>
          <w:color w:val="00000A"/>
          <w:sz w:val="24"/>
          <w:szCs w:val="24"/>
          <w:lang w:eastAsia="cs-CZ"/>
        </w:rPr>
        <w:t> </w:t>
      </w:r>
      <w:r w:rsidRPr="0072554B">
        <w:rPr>
          <w:rFonts w:ascii="Times New Roman" w:hAnsi="Times New Roman" w:cs="Times New Roman"/>
          <w:color w:val="00000A"/>
          <w:sz w:val="24"/>
          <w:szCs w:val="24"/>
          <w:lang w:eastAsia="cs-CZ"/>
        </w:rPr>
        <w:t>Kč na 3</w:t>
      </w:r>
      <w:r>
        <w:rPr>
          <w:rFonts w:ascii="Times New Roman" w:hAnsi="Times New Roman" w:cs="Times New Roman"/>
          <w:color w:val="00000A"/>
          <w:sz w:val="24"/>
          <w:szCs w:val="24"/>
          <w:lang w:eastAsia="cs-CZ"/>
        </w:rPr>
        <w:t> </w:t>
      </w:r>
      <w:r w:rsidRPr="0072554B">
        <w:rPr>
          <w:rFonts w:ascii="Times New Roman" w:hAnsi="Times New Roman" w:cs="Times New Roman"/>
          <w:color w:val="00000A"/>
          <w:sz w:val="24"/>
          <w:szCs w:val="24"/>
          <w:lang w:eastAsia="cs-CZ"/>
        </w:rPr>
        <w:t>000</w:t>
      </w:r>
      <w:r>
        <w:rPr>
          <w:rFonts w:ascii="Times New Roman" w:hAnsi="Times New Roman" w:cs="Times New Roman"/>
          <w:color w:val="00000A"/>
          <w:sz w:val="24"/>
          <w:szCs w:val="24"/>
          <w:lang w:eastAsia="cs-CZ"/>
        </w:rPr>
        <w:t> </w:t>
      </w:r>
      <w:r w:rsidRPr="0072554B">
        <w:rPr>
          <w:rFonts w:ascii="Times New Roman" w:hAnsi="Times New Roman" w:cs="Times New Roman"/>
          <w:color w:val="00000A"/>
          <w:sz w:val="24"/>
          <w:szCs w:val="24"/>
          <w:lang w:eastAsia="cs-CZ"/>
        </w:rPr>
        <w:t>Kč, ale rozhodná částka pro daňové účely zůstává stejná, tedy osvobozeny jsou odměny z dohody o pracovní činnosti v měsíc</w:t>
      </w:r>
      <w:r>
        <w:rPr>
          <w:rFonts w:ascii="Times New Roman" w:hAnsi="Times New Roman" w:cs="Times New Roman"/>
          <w:color w:val="00000A"/>
          <w:sz w:val="24"/>
          <w:szCs w:val="24"/>
          <w:lang w:eastAsia="cs-CZ"/>
        </w:rPr>
        <w:t>ích, kdy odměna nepřesáhne 2 500 </w:t>
      </w:r>
      <w:r w:rsidRPr="0072554B">
        <w:rPr>
          <w:rFonts w:ascii="Times New Roman" w:hAnsi="Times New Roman" w:cs="Times New Roman"/>
          <w:color w:val="00000A"/>
          <w:sz w:val="24"/>
          <w:szCs w:val="24"/>
          <w:lang w:eastAsia="cs-CZ"/>
        </w:rPr>
        <w:t>Kč.</w:t>
      </w:r>
    </w:p>
    <w:p w:rsidR="0072554B" w:rsidRPr="004D1C77" w:rsidRDefault="0072554B" w:rsidP="0072554B">
      <w:pPr>
        <w:widowControl/>
        <w:overflowPunct w:val="0"/>
        <w:spacing w:beforeAutospacing="1" w:afterAutospacing="1" w:line="240" w:lineRule="auto"/>
        <w:ind w:firstLine="0"/>
        <w:outlineLvl w:val="1"/>
        <w:rPr>
          <w:rFonts w:ascii="Times New Roman" w:hAnsi="Times New Roman" w:cs="Times New Roman"/>
          <w:b/>
          <w:bCs/>
          <w:color w:val="00000A"/>
          <w:sz w:val="36"/>
          <w:szCs w:val="36"/>
          <w:lang w:eastAsia="cs-CZ"/>
        </w:rPr>
      </w:pPr>
      <w:bookmarkStart w:id="2" w:name="Zvyseni_prispevku_na_peci"/>
      <w:r w:rsidRPr="0072554B">
        <w:rPr>
          <w:rFonts w:ascii="Times New Roman" w:hAnsi="Times New Roman" w:cs="Times New Roman"/>
          <w:b/>
          <w:bCs/>
          <w:color w:val="00000A"/>
          <w:sz w:val="36"/>
          <w:szCs w:val="36"/>
          <w:lang w:eastAsia="cs-CZ"/>
        </w:rPr>
        <w:t>Zvýšení příspěvku na péči</w:t>
      </w:r>
    </w:p>
    <w:bookmarkEnd w:id="2"/>
    <w:p w:rsidR="0072554B" w:rsidRDefault="0072554B" w:rsidP="00457DF9">
      <w:pPr>
        <w:widowControl/>
        <w:overflowPunct w:val="0"/>
        <w:spacing w:beforeAutospacing="1" w:afterAutospacing="1" w:line="240" w:lineRule="auto"/>
        <w:ind w:firstLine="0"/>
        <w:outlineLvl w:val="1"/>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 xml:space="preserve">Po poměrně zdlouhavých legislativních peripetiích již byla s téměř konečnou platností přijata novela zákona o sociálních službách (z. </w:t>
      </w:r>
      <w:proofErr w:type="gramStart"/>
      <w:r w:rsidRPr="0072554B">
        <w:rPr>
          <w:rFonts w:ascii="Times New Roman" w:hAnsi="Times New Roman" w:cs="Times New Roman"/>
          <w:color w:val="00000A"/>
          <w:sz w:val="24"/>
          <w:szCs w:val="24"/>
          <w:lang w:eastAsia="cs-CZ"/>
        </w:rPr>
        <w:t>č.</w:t>
      </w:r>
      <w:proofErr w:type="gramEnd"/>
      <w:r w:rsidRPr="0072554B">
        <w:rPr>
          <w:rFonts w:ascii="Times New Roman" w:hAnsi="Times New Roman" w:cs="Times New Roman"/>
          <w:color w:val="00000A"/>
          <w:sz w:val="24"/>
          <w:szCs w:val="24"/>
          <w:lang w:eastAsia="cs-CZ"/>
        </w:rPr>
        <w:t xml:space="preserve"> 108/2006 Sb.), která změní částky příspěvku na péči pro příjemce závislé na pomoci jiné fyzické osoby ve III. a IV. stupni. Toto zvýšení se tedy bude týkat spíše menší části našich čtenářů, přesto jistě stojí za zmínku. Příspěvek na péči ve III. stupni se pravděpodobně od července t</w:t>
      </w:r>
      <w:r w:rsidR="009F0739">
        <w:rPr>
          <w:rFonts w:ascii="Times New Roman" w:hAnsi="Times New Roman" w:cs="Times New Roman"/>
          <w:color w:val="00000A"/>
          <w:sz w:val="24"/>
          <w:szCs w:val="24"/>
          <w:lang w:eastAsia="cs-CZ"/>
        </w:rPr>
        <w:t>ohoto</w:t>
      </w:r>
      <w:r w:rsidRPr="0072554B">
        <w:rPr>
          <w:rFonts w:ascii="Times New Roman" w:hAnsi="Times New Roman" w:cs="Times New Roman"/>
          <w:color w:val="00000A"/>
          <w:sz w:val="24"/>
          <w:szCs w:val="24"/>
          <w:lang w:eastAsia="cs-CZ"/>
        </w:rPr>
        <w:t xml:space="preserve"> r</w:t>
      </w:r>
      <w:r w:rsidR="009F0739">
        <w:rPr>
          <w:rFonts w:ascii="Times New Roman" w:hAnsi="Times New Roman" w:cs="Times New Roman"/>
          <w:color w:val="00000A"/>
          <w:sz w:val="24"/>
          <w:szCs w:val="24"/>
          <w:lang w:eastAsia="cs-CZ"/>
        </w:rPr>
        <w:t>oku</w:t>
      </w:r>
      <w:r w:rsidRPr="0072554B">
        <w:rPr>
          <w:rFonts w:ascii="Times New Roman" w:hAnsi="Times New Roman" w:cs="Times New Roman"/>
          <w:color w:val="00000A"/>
          <w:sz w:val="24"/>
          <w:szCs w:val="24"/>
          <w:lang w:eastAsia="cs-CZ"/>
        </w:rPr>
        <w:t xml:space="preserve"> (v době psaní článku ještě chyběl podpis prezidenta republiky, jehož neočekávané odklady by mohly účinnost pozměnit) zvýší p</w:t>
      </w:r>
      <w:r w:rsidR="009F0739">
        <w:rPr>
          <w:rFonts w:ascii="Times New Roman" w:hAnsi="Times New Roman" w:cs="Times New Roman"/>
          <w:color w:val="00000A"/>
          <w:sz w:val="24"/>
          <w:szCs w:val="24"/>
          <w:lang w:eastAsia="cs-CZ"/>
        </w:rPr>
        <w:t>ro osoby do 18 let na částku 13 200 </w:t>
      </w:r>
      <w:r w:rsidRPr="0072554B">
        <w:rPr>
          <w:rFonts w:ascii="Times New Roman" w:hAnsi="Times New Roman" w:cs="Times New Roman"/>
          <w:color w:val="00000A"/>
          <w:sz w:val="24"/>
          <w:szCs w:val="24"/>
          <w:lang w:eastAsia="cs-CZ"/>
        </w:rPr>
        <w:t>Kč, a pr</w:t>
      </w:r>
      <w:r w:rsidR="009F0739">
        <w:rPr>
          <w:rFonts w:ascii="Times New Roman" w:hAnsi="Times New Roman" w:cs="Times New Roman"/>
          <w:color w:val="00000A"/>
          <w:sz w:val="24"/>
          <w:szCs w:val="24"/>
          <w:lang w:eastAsia="cs-CZ"/>
        </w:rPr>
        <w:t>o osoby starší 18 let na 12 800 </w:t>
      </w:r>
      <w:r w:rsidRPr="0072554B">
        <w:rPr>
          <w:rFonts w:ascii="Times New Roman" w:hAnsi="Times New Roman" w:cs="Times New Roman"/>
          <w:color w:val="00000A"/>
          <w:sz w:val="24"/>
          <w:szCs w:val="24"/>
          <w:lang w:eastAsia="cs-CZ"/>
        </w:rPr>
        <w:t xml:space="preserve">Kč. Pravděpodobně již od dubna 2019 bude příspěvek na péči pro osoby starší 18 let závislé ve </w:t>
      </w:r>
      <w:r w:rsidRPr="0072554B">
        <w:rPr>
          <w:rFonts w:ascii="Times New Roman" w:hAnsi="Times New Roman" w:cs="Times New Roman"/>
          <w:color w:val="00000A"/>
          <w:sz w:val="24"/>
          <w:szCs w:val="24"/>
          <w:lang w:eastAsia="cs-CZ"/>
        </w:rPr>
        <w:lastRenderedPageBreak/>
        <w:t>IV. stupni a nevyužívající pobytové s</w:t>
      </w:r>
      <w:r w:rsidR="009F0739">
        <w:rPr>
          <w:rFonts w:ascii="Times New Roman" w:hAnsi="Times New Roman" w:cs="Times New Roman"/>
          <w:color w:val="00000A"/>
          <w:sz w:val="24"/>
          <w:szCs w:val="24"/>
          <w:lang w:eastAsia="cs-CZ"/>
        </w:rPr>
        <w:t>ociální služby zvýšen na 19 200 </w:t>
      </w:r>
      <w:r w:rsidRPr="0072554B">
        <w:rPr>
          <w:rFonts w:ascii="Times New Roman" w:hAnsi="Times New Roman" w:cs="Times New Roman"/>
          <w:color w:val="00000A"/>
          <w:sz w:val="24"/>
          <w:szCs w:val="24"/>
          <w:lang w:eastAsia="cs-CZ"/>
        </w:rPr>
        <w:t>Kč, a to pro všechny věkové kategorie.</w:t>
      </w:r>
    </w:p>
    <w:p w:rsidR="0072554B" w:rsidRPr="004D1C77" w:rsidRDefault="0072554B" w:rsidP="0072554B">
      <w:pPr>
        <w:widowControl/>
        <w:overflowPunct w:val="0"/>
        <w:spacing w:beforeAutospacing="1" w:afterAutospacing="1" w:line="240" w:lineRule="auto"/>
        <w:ind w:firstLine="0"/>
        <w:outlineLvl w:val="1"/>
        <w:rPr>
          <w:rFonts w:ascii="Times New Roman" w:hAnsi="Times New Roman" w:cs="Times New Roman"/>
          <w:b/>
          <w:bCs/>
          <w:color w:val="00000A"/>
          <w:sz w:val="36"/>
          <w:szCs w:val="36"/>
          <w:lang w:eastAsia="cs-CZ"/>
        </w:rPr>
      </w:pPr>
      <w:bookmarkStart w:id="3" w:name="Konec_karencni_doby"/>
      <w:r w:rsidRPr="0072554B">
        <w:rPr>
          <w:rFonts w:ascii="Times New Roman" w:hAnsi="Times New Roman" w:cs="Times New Roman"/>
          <w:b/>
          <w:bCs/>
          <w:color w:val="00000A"/>
          <w:sz w:val="36"/>
          <w:szCs w:val="36"/>
          <w:lang w:eastAsia="cs-CZ"/>
        </w:rPr>
        <w:t>Konec karenční doby</w:t>
      </w:r>
    </w:p>
    <w:bookmarkEnd w:id="3"/>
    <w:p w:rsidR="0072554B" w:rsidRPr="009F0739" w:rsidRDefault="0072554B" w:rsidP="0072554B">
      <w:pPr>
        <w:widowControl/>
        <w:overflowPunct w:val="0"/>
        <w:spacing w:beforeAutospacing="1" w:afterAutospacing="1" w:line="240" w:lineRule="auto"/>
        <w:ind w:firstLine="0"/>
        <w:rPr>
          <w:rFonts w:ascii="Times New Roman" w:hAnsi="Times New Roman" w:cs="Times New Roman"/>
          <w:b/>
          <w:color w:val="00000A"/>
          <w:sz w:val="24"/>
          <w:szCs w:val="24"/>
          <w:lang w:eastAsia="cs-CZ"/>
        </w:rPr>
      </w:pPr>
      <w:r w:rsidRPr="0072554B">
        <w:rPr>
          <w:rFonts w:ascii="Times New Roman" w:hAnsi="Times New Roman" w:cs="Times New Roman"/>
          <w:color w:val="00000A"/>
          <w:sz w:val="24"/>
          <w:szCs w:val="24"/>
          <w:lang w:eastAsia="cs-CZ"/>
        </w:rPr>
        <w:t>Realitou se stal dlouhodobý záměr levicových poslanců a zrušena byla třídenní karenční doba. Šlo o dobu prvních tří pracovních dnů, po kterou nebyla při dočasné pracovní neschopnosti zaměstnancům vyplácena náhrada mzdy. Novelou příslušných zákonů publikovanou pod číslem 32/2019 Sb. se tato karenční doba st</w:t>
      </w:r>
      <w:bookmarkStart w:id="4" w:name="_GoBack"/>
      <w:bookmarkEnd w:id="4"/>
      <w:r w:rsidRPr="0072554B">
        <w:rPr>
          <w:rFonts w:ascii="Times New Roman" w:hAnsi="Times New Roman" w:cs="Times New Roman"/>
          <w:color w:val="00000A"/>
          <w:sz w:val="24"/>
          <w:szCs w:val="24"/>
          <w:lang w:eastAsia="cs-CZ"/>
        </w:rPr>
        <w:t xml:space="preserve">ane historií a náhrada mzdy či platu bude zaměstnancům vyplácena po prvních čtrnáct dnů od začátku dočasné pracovní neschopnosti, patnáctým dnem pak začíná výplata nemocenského. </w:t>
      </w:r>
      <w:r w:rsidRPr="009F0739">
        <w:rPr>
          <w:rFonts w:ascii="Times New Roman" w:hAnsi="Times New Roman" w:cs="Times New Roman"/>
          <w:b/>
          <w:color w:val="00000A"/>
          <w:sz w:val="24"/>
          <w:szCs w:val="24"/>
          <w:lang w:eastAsia="cs-CZ"/>
        </w:rPr>
        <w:t>Tato změna nab</w:t>
      </w:r>
      <w:r w:rsidR="00791A90" w:rsidRPr="009F0739">
        <w:rPr>
          <w:rFonts w:ascii="Times New Roman" w:hAnsi="Times New Roman" w:cs="Times New Roman"/>
          <w:b/>
          <w:color w:val="00000A"/>
          <w:sz w:val="24"/>
          <w:szCs w:val="24"/>
          <w:lang w:eastAsia="cs-CZ"/>
        </w:rPr>
        <w:t>ude účinnosti 1. července 2019.</w:t>
      </w:r>
    </w:p>
    <w:p w:rsidR="00791A90" w:rsidRPr="004D1C77" w:rsidRDefault="00791A90" w:rsidP="00791A90">
      <w:pPr>
        <w:widowControl/>
        <w:overflowPunct w:val="0"/>
        <w:spacing w:beforeAutospacing="1" w:afterAutospacing="1" w:line="240" w:lineRule="auto"/>
        <w:ind w:firstLine="0"/>
        <w:outlineLvl w:val="1"/>
        <w:rPr>
          <w:rFonts w:ascii="Times New Roman" w:hAnsi="Times New Roman" w:cs="Times New Roman"/>
          <w:b/>
          <w:bCs/>
          <w:color w:val="00000A"/>
          <w:sz w:val="36"/>
          <w:szCs w:val="36"/>
          <w:lang w:eastAsia="cs-CZ"/>
        </w:rPr>
      </w:pPr>
      <w:bookmarkStart w:id="5" w:name="Novela_insolvencniho_zakona"/>
      <w:r w:rsidRPr="00791A90">
        <w:rPr>
          <w:rFonts w:ascii="Times New Roman" w:hAnsi="Times New Roman" w:cs="Times New Roman"/>
          <w:b/>
          <w:bCs/>
          <w:color w:val="00000A"/>
          <w:sz w:val="36"/>
          <w:szCs w:val="36"/>
          <w:lang w:eastAsia="cs-CZ"/>
        </w:rPr>
        <w:t>Jaké změny přinesla nedávno schválená novela insolvenčního zákona?</w:t>
      </w:r>
    </w:p>
    <w:bookmarkEnd w:id="5"/>
    <w:p w:rsidR="0072554B" w:rsidRPr="0072554B" w:rsidRDefault="0072554B"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Jen o jednotku nižší číslo než výše popsaná novela, v tomto případě tedy 31/2019 Sb., má Poslaneckou sněmovnou schválený vládní návrh, který upravuje zejména insolvenční zákon. Novela čítá 27 stran textu, my se zaměříme jen na to nejpodstatnější, tedy na změny podmínek oddlužení, čast</w:t>
      </w:r>
      <w:r>
        <w:rPr>
          <w:rFonts w:ascii="Times New Roman" w:hAnsi="Times New Roman" w:cs="Times New Roman"/>
          <w:color w:val="00000A"/>
          <w:sz w:val="24"/>
          <w:szCs w:val="24"/>
          <w:lang w:eastAsia="cs-CZ"/>
        </w:rPr>
        <w:t>o nazývaného osobním bankrotem.</w:t>
      </w:r>
    </w:p>
    <w:p w:rsidR="0072554B" w:rsidRPr="0072554B" w:rsidRDefault="0072554B"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Dosud platilo, že soud schválil návrh na oddlužení jen dlužníkovi, který byl sc</w:t>
      </w:r>
      <w:r w:rsidR="00FC2446">
        <w:rPr>
          <w:rFonts w:ascii="Times New Roman" w:hAnsi="Times New Roman" w:cs="Times New Roman"/>
          <w:color w:val="00000A"/>
          <w:sz w:val="24"/>
          <w:szCs w:val="24"/>
          <w:lang w:eastAsia="cs-CZ"/>
        </w:rPr>
        <w:t>hopen během pěti let splatit 30 </w:t>
      </w:r>
      <w:r w:rsidRPr="0072554B">
        <w:rPr>
          <w:rFonts w:ascii="Times New Roman" w:hAnsi="Times New Roman" w:cs="Times New Roman"/>
          <w:color w:val="00000A"/>
          <w:sz w:val="24"/>
          <w:szCs w:val="24"/>
          <w:lang w:eastAsia="cs-CZ"/>
        </w:rPr>
        <w:t>% pohledávek jeho věřitelů, tato podmínka však odpadá. Nyní se posuzování kritérií splnění oddlužení posunují zejména na konec doby, po které bude dlužník oddlužení plnit, ocitujme nové klíčové ustanove</w:t>
      </w:r>
      <w:r>
        <w:rPr>
          <w:rFonts w:ascii="Times New Roman" w:hAnsi="Times New Roman" w:cs="Times New Roman"/>
          <w:color w:val="00000A"/>
          <w:sz w:val="24"/>
          <w:szCs w:val="24"/>
          <w:lang w:eastAsia="cs-CZ"/>
        </w:rPr>
        <w:t>ní § 412a insolvenčního zákona:</w:t>
      </w:r>
    </w:p>
    <w:p w:rsidR="0072554B" w:rsidRPr="00FC2446" w:rsidRDefault="0072554B" w:rsidP="0072554B">
      <w:pPr>
        <w:widowControl/>
        <w:overflowPunct w:val="0"/>
        <w:spacing w:beforeAutospacing="1" w:afterAutospacing="1" w:line="240" w:lineRule="auto"/>
        <w:ind w:firstLine="0"/>
        <w:rPr>
          <w:rFonts w:ascii="Times New Roman" w:hAnsi="Times New Roman" w:cs="Times New Roman"/>
          <w:b/>
          <w:i/>
          <w:color w:val="00000A"/>
          <w:sz w:val="24"/>
          <w:szCs w:val="24"/>
          <w:lang w:eastAsia="cs-CZ"/>
        </w:rPr>
      </w:pPr>
      <w:r w:rsidRPr="00FC2446">
        <w:rPr>
          <w:rFonts w:ascii="Times New Roman" w:hAnsi="Times New Roman" w:cs="Times New Roman"/>
          <w:b/>
          <w:i/>
          <w:color w:val="00000A"/>
          <w:sz w:val="24"/>
          <w:szCs w:val="24"/>
          <w:lang w:eastAsia="cs-CZ"/>
        </w:rPr>
        <w:t>“Oddlužení plněním splátkového kalendáře se zpeněžením majetkové podstaty je splněno, jestliže</w:t>
      </w:r>
    </w:p>
    <w:p w:rsidR="0072554B" w:rsidRPr="00FC2446" w:rsidRDefault="0072554B" w:rsidP="0072554B">
      <w:pPr>
        <w:pStyle w:val="Odstavecseseznamem"/>
        <w:widowControl/>
        <w:numPr>
          <w:ilvl w:val="0"/>
          <w:numId w:val="8"/>
        </w:numPr>
        <w:overflowPunct w:val="0"/>
        <w:spacing w:beforeAutospacing="1" w:afterAutospacing="1" w:line="240" w:lineRule="auto"/>
        <w:rPr>
          <w:rFonts w:ascii="Times New Roman" w:hAnsi="Times New Roman" w:cs="Times New Roman"/>
          <w:i/>
          <w:color w:val="00000A"/>
          <w:sz w:val="24"/>
          <w:szCs w:val="24"/>
          <w:lang w:eastAsia="cs-CZ"/>
        </w:rPr>
      </w:pPr>
      <w:r w:rsidRPr="00FC2446">
        <w:rPr>
          <w:rFonts w:ascii="Times New Roman" w:hAnsi="Times New Roman" w:cs="Times New Roman"/>
          <w:i/>
          <w:color w:val="00000A"/>
          <w:sz w:val="24"/>
          <w:szCs w:val="24"/>
          <w:lang w:eastAsia="cs-CZ"/>
        </w:rPr>
        <w:t>dlužník splatil nezajištěným věřitelům jejich pohledávky v plné výši,</w:t>
      </w:r>
    </w:p>
    <w:p w:rsidR="0072554B" w:rsidRPr="00FC2446" w:rsidRDefault="0072554B" w:rsidP="0072554B">
      <w:pPr>
        <w:pStyle w:val="Odstavecseseznamem"/>
        <w:widowControl/>
        <w:numPr>
          <w:ilvl w:val="0"/>
          <w:numId w:val="8"/>
        </w:numPr>
        <w:overflowPunct w:val="0"/>
        <w:spacing w:beforeAutospacing="1" w:afterAutospacing="1" w:line="240" w:lineRule="auto"/>
        <w:rPr>
          <w:rFonts w:ascii="Times New Roman" w:hAnsi="Times New Roman" w:cs="Times New Roman"/>
          <w:i/>
          <w:color w:val="00000A"/>
          <w:sz w:val="24"/>
          <w:szCs w:val="24"/>
          <w:lang w:eastAsia="cs-CZ"/>
        </w:rPr>
      </w:pPr>
      <w:r w:rsidRPr="00FC2446">
        <w:rPr>
          <w:rFonts w:ascii="Times New Roman" w:hAnsi="Times New Roman" w:cs="Times New Roman"/>
          <w:i/>
          <w:color w:val="00000A"/>
          <w:sz w:val="24"/>
          <w:szCs w:val="24"/>
          <w:lang w:eastAsia="cs-CZ"/>
        </w:rPr>
        <w:t>dlužník v době 3 let od schválení oddlužení splatil nezajištěným věřitelům alespoň 60</w:t>
      </w:r>
      <w:r w:rsidR="00791A90" w:rsidRPr="00FC2446">
        <w:rPr>
          <w:rFonts w:ascii="Times New Roman" w:hAnsi="Times New Roman" w:cs="Times New Roman"/>
          <w:i/>
          <w:color w:val="00000A"/>
          <w:sz w:val="24"/>
          <w:szCs w:val="24"/>
          <w:lang w:eastAsia="cs-CZ"/>
        </w:rPr>
        <w:t> </w:t>
      </w:r>
      <w:r w:rsidRPr="00FC2446">
        <w:rPr>
          <w:rFonts w:ascii="Times New Roman" w:hAnsi="Times New Roman" w:cs="Times New Roman"/>
          <w:i/>
          <w:color w:val="00000A"/>
          <w:sz w:val="24"/>
          <w:szCs w:val="24"/>
          <w:lang w:eastAsia="cs-CZ"/>
        </w:rPr>
        <w:t>% jejich pohledávek,</w:t>
      </w:r>
    </w:p>
    <w:p w:rsidR="0072554B" w:rsidRPr="00FC2446" w:rsidRDefault="0072554B" w:rsidP="00791A90">
      <w:pPr>
        <w:pStyle w:val="Odstavecseseznamem"/>
        <w:widowControl/>
        <w:numPr>
          <w:ilvl w:val="0"/>
          <w:numId w:val="8"/>
        </w:numPr>
        <w:overflowPunct w:val="0"/>
        <w:spacing w:beforeAutospacing="1" w:afterAutospacing="1" w:line="240" w:lineRule="auto"/>
        <w:rPr>
          <w:rFonts w:ascii="Times New Roman" w:hAnsi="Times New Roman" w:cs="Times New Roman"/>
          <w:i/>
          <w:color w:val="00000A"/>
          <w:sz w:val="24"/>
          <w:szCs w:val="24"/>
          <w:lang w:eastAsia="cs-CZ"/>
        </w:rPr>
      </w:pPr>
      <w:r w:rsidRPr="00FC2446">
        <w:rPr>
          <w:rFonts w:ascii="Times New Roman" w:hAnsi="Times New Roman" w:cs="Times New Roman"/>
          <w:i/>
          <w:color w:val="00000A"/>
          <w:sz w:val="24"/>
          <w:szCs w:val="24"/>
          <w:lang w:eastAsia="cs-CZ"/>
        </w:rPr>
        <w:t>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w:t>
      </w:r>
      <w:r w:rsidR="00791A90" w:rsidRPr="00FC2446">
        <w:rPr>
          <w:rFonts w:ascii="Times New Roman" w:hAnsi="Times New Roman" w:cs="Times New Roman"/>
          <w:i/>
          <w:color w:val="00000A"/>
          <w:sz w:val="24"/>
          <w:szCs w:val="24"/>
          <w:lang w:eastAsia="cs-CZ"/>
        </w:rPr>
        <w:t>zajištěným věřitelům alespoň 30 </w:t>
      </w:r>
      <w:r w:rsidRPr="00FC2446">
        <w:rPr>
          <w:rFonts w:ascii="Times New Roman" w:hAnsi="Times New Roman" w:cs="Times New Roman"/>
          <w:i/>
          <w:color w:val="00000A"/>
          <w:sz w:val="24"/>
          <w:szCs w:val="24"/>
          <w:lang w:eastAsia="cs-CZ"/>
        </w:rPr>
        <w:t>% jejich pohledávek.”</w:t>
      </w:r>
    </w:p>
    <w:p w:rsidR="0072554B" w:rsidRPr="0072554B" w:rsidRDefault="0072554B"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Toto znění připouští i možnost, že také dlužníkovi, kterému se nepodař</w:t>
      </w:r>
      <w:r w:rsidR="00791A90">
        <w:rPr>
          <w:rFonts w:ascii="Times New Roman" w:hAnsi="Times New Roman" w:cs="Times New Roman"/>
          <w:color w:val="00000A"/>
          <w:sz w:val="24"/>
          <w:szCs w:val="24"/>
          <w:lang w:eastAsia="cs-CZ"/>
        </w:rPr>
        <w:t>í za pět let splatit alespoň 30 </w:t>
      </w:r>
      <w:r w:rsidRPr="0072554B">
        <w:rPr>
          <w:rFonts w:ascii="Times New Roman" w:hAnsi="Times New Roman" w:cs="Times New Roman"/>
          <w:color w:val="00000A"/>
          <w:sz w:val="24"/>
          <w:szCs w:val="24"/>
          <w:lang w:eastAsia="cs-CZ"/>
        </w:rPr>
        <w:t>% pohledávek</w:t>
      </w:r>
      <w:r>
        <w:rPr>
          <w:rFonts w:ascii="Times New Roman" w:hAnsi="Times New Roman" w:cs="Times New Roman"/>
          <w:color w:val="00000A"/>
          <w:sz w:val="24"/>
          <w:szCs w:val="24"/>
          <w:lang w:eastAsia="cs-CZ"/>
        </w:rPr>
        <w:t>, může soud oddlužení schválit.</w:t>
      </w:r>
    </w:p>
    <w:p w:rsidR="0072554B" w:rsidRPr="0072554B" w:rsidRDefault="0072554B"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Za hodný pozornosti pak určitě můžeme pro naši komunitu označ</w:t>
      </w:r>
      <w:r>
        <w:rPr>
          <w:rFonts w:ascii="Times New Roman" w:hAnsi="Times New Roman" w:cs="Times New Roman"/>
          <w:color w:val="00000A"/>
          <w:sz w:val="24"/>
          <w:szCs w:val="24"/>
          <w:lang w:eastAsia="cs-CZ"/>
        </w:rPr>
        <w:t>it odstavec 4 téhož ustanovení:</w:t>
      </w:r>
    </w:p>
    <w:p w:rsidR="0072554B" w:rsidRPr="0072554B" w:rsidRDefault="0072554B"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w:t>
      </w:r>
      <w:r w:rsidRPr="00FC2446">
        <w:rPr>
          <w:rFonts w:ascii="Times New Roman" w:hAnsi="Times New Roman" w:cs="Times New Roman"/>
          <w:i/>
          <w:color w:val="00000A"/>
          <w:sz w:val="24"/>
          <w:szCs w:val="24"/>
          <w:lang w:eastAsia="cs-CZ"/>
        </w:rPr>
        <w:t>Vznikl-li dlužníku nárok na starobní důchod před schválením oddlužení a tento nárok trval po celou dobu schváleného oddlužení nebo je-li dlužník invalidní ve druhém nebo třetím stupni, je oddlužení plněním splátkového kalendáře se zpeněžením majetkové podstaty splněno, jestliže nebylo zrušeno po dobu 3 let od schválení oddlužení.“</w:t>
      </w:r>
    </w:p>
    <w:p w:rsidR="0072554B" w:rsidRPr="0072554B" w:rsidRDefault="0072554B"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 xml:space="preserve">Z tohoto odstavce tedy plyne, že bude-li se poživatel starobního nebo invalidního důchodu snažit poctivě tři roky po schváleném návrhu na oddlužení splácet, může být již po této době uznán soudem </w:t>
      </w:r>
      <w:proofErr w:type="spellStart"/>
      <w:r w:rsidRPr="0072554B">
        <w:rPr>
          <w:rFonts w:ascii="Times New Roman" w:hAnsi="Times New Roman" w:cs="Times New Roman"/>
          <w:color w:val="00000A"/>
          <w:sz w:val="24"/>
          <w:szCs w:val="24"/>
          <w:lang w:eastAsia="cs-CZ"/>
        </w:rPr>
        <w:t>bezdlužným</w:t>
      </w:r>
      <w:proofErr w:type="spellEnd"/>
      <w:r w:rsidRPr="0072554B">
        <w:rPr>
          <w:rFonts w:ascii="Times New Roman" w:hAnsi="Times New Roman" w:cs="Times New Roman"/>
          <w:color w:val="00000A"/>
          <w:sz w:val="24"/>
          <w:szCs w:val="24"/>
          <w:lang w:eastAsia="cs-CZ"/>
        </w:rPr>
        <w:t xml:space="preserve">, i když by se mu nepodařilo splatit pohledávky ve výši v návrhu na oddlužení předpokládané. Toto „výjimečné“ schválení oddlužení (bez toho, </w:t>
      </w:r>
      <w:r w:rsidR="00791A90">
        <w:rPr>
          <w:rFonts w:ascii="Times New Roman" w:hAnsi="Times New Roman" w:cs="Times New Roman"/>
          <w:color w:val="00000A"/>
          <w:sz w:val="24"/>
          <w:szCs w:val="24"/>
          <w:lang w:eastAsia="cs-CZ"/>
        </w:rPr>
        <w:t>aby dlužník splatil alespoň 30 </w:t>
      </w:r>
      <w:r w:rsidRPr="0072554B">
        <w:rPr>
          <w:rFonts w:ascii="Times New Roman" w:hAnsi="Times New Roman" w:cs="Times New Roman"/>
          <w:color w:val="00000A"/>
          <w:sz w:val="24"/>
          <w:szCs w:val="24"/>
          <w:lang w:eastAsia="cs-CZ"/>
        </w:rPr>
        <w:t xml:space="preserve">% dluhů, není možné získat opakovaně, jedině za okolností zvláštního zřetele hodných, jak stanoví následující odstavec. Nová pravidla pro oddlužení bude možné aplikovat až na oddlužení povolená pravomocnými rozhodnutími soudu po účinnosti této </w:t>
      </w:r>
      <w:r>
        <w:rPr>
          <w:rFonts w:ascii="Times New Roman" w:hAnsi="Times New Roman" w:cs="Times New Roman"/>
          <w:color w:val="00000A"/>
          <w:sz w:val="24"/>
          <w:szCs w:val="24"/>
          <w:lang w:eastAsia="cs-CZ"/>
        </w:rPr>
        <w:t>novely, tedy po 1. červnu t</w:t>
      </w:r>
      <w:r w:rsidR="00FC2446">
        <w:rPr>
          <w:rFonts w:ascii="Times New Roman" w:hAnsi="Times New Roman" w:cs="Times New Roman"/>
          <w:color w:val="00000A"/>
          <w:sz w:val="24"/>
          <w:szCs w:val="24"/>
          <w:lang w:eastAsia="cs-CZ"/>
        </w:rPr>
        <w:t>ohoto roku.</w:t>
      </w:r>
    </w:p>
    <w:p w:rsidR="0072554B" w:rsidRPr="0072554B" w:rsidRDefault="0072554B"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Za zmínku stojí i nová možnost přerušení průběhu oddlužení na návrh dlužníka či insolvenčního správce. Průběh oddlužení může být přerušen až na jeden rok, návrh musí být podložen vážnými důvody a nemůže k</w:t>
      </w:r>
      <w:r>
        <w:rPr>
          <w:rFonts w:ascii="Times New Roman" w:hAnsi="Times New Roman" w:cs="Times New Roman"/>
          <w:color w:val="00000A"/>
          <w:sz w:val="24"/>
          <w:szCs w:val="24"/>
          <w:lang w:eastAsia="cs-CZ"/>
        </w:rPr>
        <w:t xml:space="preserve"> němu dojít opakovaně.</w:t>
      </w:r>
    </w:p>
    <w:p w:rsidR="0072554B" w:rsidRPr="0072554B" w:rsidRDefault="0072554B"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p>
    <w:p w:rsidR="00E557E9" w:rsidRDefault="0072554B"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2554B">
        <w:rPr>
          <w:rFonts w:ascii="Times New Roman" w:hAnsi="Times New Roman" w:cs="Times New Roman"/>
          <w:color w:val="00000A"/>
          <w:sz w:val="24"/>
          <w:szCs w:val="24"/>
          <w:lang w:eastAsia="cs-CZ"/>
        </w:rPr>
        <w:t>O „žhavých“ novinkách za Sociálně právní poradnu informuje</w:t>
      </w:r>
    </w:p>
    <w:p w:rsidR="00E557E9" w:rsidRDefault="00CC21B3">
      <w:pPr>
        <w:widowControl/>
        <w:overflowPunct w:val="0"/>
        <w:spacing w:beforeAutospacing="1" w:afterAutospacing="1" w:line="240" w:lineRule="auto"/>
        <w:ind w:firstLine="0"/>
      </w:pPr>
      <w:r w:rsidRPr="00CC21B3">
        <w:rPr>
          <w:rFonts w:ascii="Times New Roman" w:hAnsi="Times New Roman" w:cs="Times New Roman"/>
          <w:b/>
          <w:i/>
          <w:color w:val="00000A"/>
          <w:sz w:val="24"/>
          <w:szCs w:val="24"/>
          <w:lang w:eastAsia="cs-CZ"/>
        </w:rPr>
        <w:t>Luboš Zajíc</w:t>
      </w:r>
    </w:p>
    <w:sectPr w:rsidR="00E557E9">
      <w:pgSz w:w="11906" w:h="16838"/>
      <w:pgMar w:top="1417" w:right="1417" w:bottom="1417" w:left="1417"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01"/>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3">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1B3C11"/>
    <w:rsid w:val="003F23F2"/>
    <w:rsid w:val="00457DF9"/>
    <w:rsid w:val="004D1C77"/>
    <w:rsid w:val="00520303"/>
    <w:rsid w:val="005546C1"/>
    <w:rsid w:val="0072554B"/>
    <w:rsid w:val="00754FE6"/>
    <w:rsid w:val="00791A90"/>
    <w:rsid w:val="007949F0"/>
    <w:rsid w:val="00805E2D"/>
    <w:rsid w:val="00865F2A"/>
    <w:rsid w:val="0094210C"/>
    <w:rsid w:val="009F0739"/>
    <w:rsid w:val="00BD6FB6"/>
    <w:rsid w:val="00C27805"/>
    <w:rsid w:val="00CB5127"/>
    <w:rsid w:val="00CC21B3"/>
    <w:rsid w:val="00E06244"/>
    <w:rsid w:val="00E3673B"/>
    <w:rsid w:val="00E557E9"/>
    <w:rsid w:val="00EF50C9"/>
    <w:rsid w:val="00F076C8"/>
    <w:rsid w:val="00FC24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10E4-C704-4DF0-AED8-0FC8A432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931</Words>
  <Characters>5499</Characters>
  <Application>Microsoft Office Word</Application>
  <DocSecurity>0</DocSecurity>
  <Lines>45</Lines>
  <Paragraphs>12</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Informace a odpovědi na dotazy ze Sociálně právní poradny SONS v Praze 03/2019</vt:lpstr>
      <vt:lpstr>    Co se o daních z příjmu nedozvíte aneb o změně u dohody o pracovní činnosti</vt:lpstr>
      <vt:lpstr>    Ve třetích článcích příslušných kalendářních roků, které se k Vám dostávají na r</vt:lpstr>
      <vt:lpstr>    Slevy z daně, odpočitatelné položky od základu daně ani další parametry nezaznam</vt:lpstr>
      <vt:lpstr>    Zmínit bychom v této souvislosti však měli změnu částky rozhodného příjmu, od kt</vt:lpstr>
      <vt:lpstr>    Zvýšení příspěvku na péči</vt:lpstr>
      <vt:lpstr>    Po poměrně zdlouhavých legislativních peripetiích již byla s téměř konečnou plat</vt:lpstr>
      <vt:lpstr>    Konec karenční doby</vt:lpstr>
    </vt:vector>
  </TitlesOfParts>
  <Company>Hewlett-Packard Company</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8</cp:revision>
  <dcterms:created xsi:type="dcterms:W3CDTF">2019-02-20T11:17:00Z</dcterms:created>
  <dcterms:modified xsi:type="dcterms:W3CDTF">2019-02-20T14:13:00Z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