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E9" w:rsidRPr="00E53F2F" w:rsidRDefault="00E06244">
      <w:pPr>
        <w:widowControl/>
        <w:overflowPunct w:val="0"/>
        <w:spacing w:beforeAutospacing="1" w:afterAutospacing="1" w:line="240" w:lineRule="auto"/>
        <w:ind w:firstLine="0"/>
        <w:jc w:val="center"/>
        <w:outlineLvl w:val="0"/>
        <w:rPr>
          <w:rFonts w:ascii="Times New Roman" w:hAnsi="Times New Roman" w:cs="Times New Roman"/>
        </w:rPr>
      </w:pPr>
      <w:r w:rsidRPr="00E53F2F">
        <w:rPr>
          <w:rFonts w:ascii="Times New Roman" w:hAnsi="Times New Roman" w:cs="Times New Roman"/>
          <w:b/>
          <w:bCs/>
          <w:color w:val="00000A"/>
          <w:sz w:val="48"/>
          <w:szCs w:val="48"/>
          <w:lang w:eastAsia="cs-CZ"/>
        </w:rPr>
        <w:t>Informace a odpovědi na dotazy ze Sociáln</w:t>
      </w:r>
      <w:r w:rsidR="004D1C77" w:rsidRPr="00E53F2F">
        <w:rPr>
          <w:rFonts w:ascii="Times New Roman" w:hAnsi="Times New Roman" w:cs="Times New Roman"/>
          <w:b/>
          <w:bCs/>
          <w:color w:val="00000A"/>
          <w:sz w:val="48"/>
          <w:szCs w:val="48"/>
          <w:lang w:eastAsia="cs-CZ"/>
        </w:rPr>
        <w:t xml:space="preserve">ě právní poradny SONS v Praze </w:t>
      </w:r>
      <w:r w:rsidR="005546C1" w:rsidRPr="00E53F2F">
        <w:rPr>
          <w:rFonts w:ascii="Times New Roman" w:hAnsi="Times New Roman" w:cs="Times New Roman"/>
          <w:b/>
          <w:bCs/>
          <w:color w:val="00000A"/>
          <w:sz w:val="48"/>
          <w:szCs w:val="48"/>
          <w:lang w:eastAsia="cs-CZ"/>
        </w:rPr>
        <w:t>0</w:t>
      </w:r>
      <w:r w:rsidR="0071291E" w:rsidRPr="00E53F2F">
        <w:rPr>
          <w:rFonts w:ascii="Times New Roman" w:hAnsi="Times New Roman" w:cs="Times New Roman"/>
          <w:b/>
          <w:bCs/>
          <w:color w:val="00000A"/>
          <w:sz w:val="48"/>
          <w:szCs w:val="48"/>
          <w:lang w:eastAsia="cs-CZ"/>
        </w:rPr>
        <w:t>6</w:t>
      </w:r>
      <w:r w:rsidR="005546C1" w:rsidRPr="00E53F2F">
        <w:rPr>
          <w:rFonts w:ascii="Times New Roman" w:hAnsi="Times New Roman" w:cs="Times New Roman"/>
          <w:b/>
          <w:bCs/>
          <w:color w:val="00000A"/>
          <w:sz w:val="48"/>
          <w:szCs w:val="48"/>
          <w:lang w:eastAsia="cs-CZ"/>
        </w:rPr>
        <w:t>/2019</w:t>
      </w:r>
    </w:p>
    <w:p w:rsidR="00E54BBA" w:rsidRPr="00E53F2F" w:rsidRDefault="0071291E" w:rsidP="0071291E">
      <w:pPr>
        <w:widowControl/>
        <w:overflowPunct w:val="0"/>
        <w:spacing w:before="100" w:beforeAutospacing="1" w:after="100" w:afterAutospacing="1" w:line="240" w:lineRule="auto"/>
        <w:ind w:firstLine="0"/>
        <w:rPr>
          <w:rFonts w:ascii="Times New Roman" w:hAnsi="Times New Roman" w:cs="Times New Roman"/>
          <w:sz w:val="24"/>
          <w:szCs w:val="24"/>
        </w:rPr>
      </w:pPr>
      <w:r w:rsidRPr="00E53F2F">
        <w:rPr>
          <w:rFonts w:ascii="Times New Roman" w:hAnsi="Times New Roman" w:cs="Times New Roman"/>
          <w:color w:val="00000A"/>
          <w:sz w:val="24"/>
          <w:szCs w:val="24"/>
          <w:lang w:eastAsia="cs-CZ"/>
        </w:rPr>
        <w:t>Dnešní poradenský článek je inspirován přáním některých diskutujících na e-mailové konferenci Inpora, abychom informovali o nové legislativní úpravě příspěvků pojišťoven na optické pomůcky a řešením zdaleka ne jednoho případu nešťastníka, který se ukvapil a naletěl nabídce na zlevnění elektřiny nebo plynu.</w:t>
      </w:r>
    </w:p>
    <w:p w:rsidR="00E54BBA" w:rsidRPr="00E53F2F" w:rsidRDefault="000E2700" w:rsidP="00CE5475">
      <w:pPr>
        <w:widowControl/>
        <w:numPr>
          <w:ilvl w:val="0"/>
          <w:numId w:val="1"/>
        </w:numPr>
        <w:overflowPunct w:val="0"/>
        <w:spacing w:beforeAutospacing="1" w:afterAutospacing="1" w:line="240" w:lineRule="auto"/>
        <w:rPr>
          <w:rFonts w:ascii="Times New Roman" w:hAnsi="Times New Roman" w:cs="Times New Roman"/>
          <w:sz w:val="24"/>
          <w:szCs w:val="24"/>
        </w:rPr>
      </w:pPr>
      <w:hyperlink w:anchor="Prispevky_pojistoven_na_opticke_pomucky" w:history="1">
        <w:r w:rsidR="00CE5475" w:rsidRPr="000E2700">
          <w:rPr>
            <w:rStyle w:val="Hypertextovodkaz"/>
            <w:rFonts w:ascii="Times New Roman" w:hAnsi="Times New Roman" w:cs="Times New Roman"/>
            <w:sz w:val="24"/>
            <w:szCs w:val="24"/>
          </w:rPr>
          <w:t>Příspěvky pojišťoven na optické pom</w:t>
        </w:r>
        <w:r w:rsidR="00CE5475" w:rsidRPr="000E2700">
          <w:rPr>
            <w:rStyle w:val="Hypertextovodkaz"/>
            <w:rFonts w:ascii="Times New Roman" w:hAnsi="Times New Roman" w:cs="Times New Roman"/>
            <w:sz w:val="24"/>
            <w:szCs w:val="24"/>
          </w:rPr>
          <w:t>ů</w:t>
        </w:r>
        <w:r w:rsidR="00CE5475" w:rsidRPr="000E2700">
          <w:rPr>
            <w:rStyle w:val="Hypertextovodkaz"/>
            <w:rFonts w:ascii="Times New Roman" w:hAnsi="Times New Roman" w:cs="Times New Roman"/>
            <w:sz w:val="24"/>
            <w:szCs w:val="24"/>
          </w:rPr>
          <w:t>cky od 1. 8. 2019</w:t>
        </w:r>
      </w:hyperlink>
    </w:p>
    <w:p w:rsidR="00960C57" w:rsidRPr="00E53F2F" w:rsidRDefault="000E2700" w:rsidP="00CE5475">
      <w:pPr>
        <w:widowControl/>
        <w:numPr>
          <w:ilvl w:val="1"/>
          <w:numId w:val="1"/>
        </w:numPr>
        <w:overflowPunct w:val="0"/>
        <w:spacing w:beforeAutospacing="1" w:afterAutospacing="1" w:line="240" w:lineRule="auto"/>
        <w:rPr>
          <w:rFonts w:ascii="Times New Roman" w:hAnsi="Times New Roman" w:cs="Times New Roman"/>
          <w:sz w:val="24"/>
          <w:szCs w:val="24"/>
        </w:rPr>
      </w:pPr>
      <w:hyperlink w:anchor="Priklady_brylovych_cocek" w:history="1">
        <w:r w:rsidR="00CE5475" w:rsidRPr="000E2700">
          <w:rPr>
            <w:rStyle w:val="Hypertextovodkaz"/>
            <w:rFonts w:ascii="Times New Roman" w:hAnsi="Times New Roman" w:cs="Times New Roman"/>
            <w:sz w:val="24"/>
            <w:szCs w:val="24"/>
          </w:rPr>
          <w:t>Několik příkladů brýlovýc</w:t>
        </w:r>
        <w:r w:rsidR="00CE5475" w:rsidRPr="000E2700">
          <w:rPr>
            <w:rStyle w:val="Hypertextovodkaz"/>
            <w:rFonts w:ascii="Times New Roman" w:hAnsi="Times New Roman" w:cs="Times New Roman"/>
            <w:sz w:val="24"/>
            <w:szCs w:val="24"/>
          </w:rPr>
          <w:t>h</w:t>
        </w:r>
        <w:r w:rsidR="00CE5475" w:rsidRPr="000E2700">
          <w:rPr>
            <w:rStyle w:val="Hypertextovodkaz"/>
            <w:rFonts w:ascii="Times New Roman" w:hAnsi="Times New Roman" w:cs="Times New Roman"/>
            <w:sz w:val="24"/>
            <w:szCs w:val="24"/>
          </w:rPr>
          <w:t xml:space="preserve"> čoček</w:t>
        </w:r>
      </w:hyperlink>
    </w:p>
    <w:p w:rsidR="00E53F2F" w:rsidRPr="00E53F2F" w:rsidRDefault="000E2700" w:rsidP="00960C57">
      <w:pPr>
        <w:widowControl/>
        <w:numPr>
          <w:ilvl w:val="0"/>
          <w:numId w:val="1"/>
        </w:numPr>
        <w:overflowPunct w:val="0"/>
        <w:spacing w:beforeAutospacing="1" w:afterAutospacing="1" w:line="240" w:lineRule="auto"/>
        <w:rPr>
          <w:rFonts w:ascii="Times New Roman" w:hAnsi="Times New Roman" w:cs="Times New Roman"/>
          <w:sz w:val="24"/>
          <w:szCs w:val="24"/>
        </w:rPr>
      </w:pPr>
      <w:hyperlink w:anchor="Obrana_proti_energetickym_smejdum" w:history="1">
        <w:r w:rsidR="00E53F2F" w:rsidRPr="000E2700">
          <w:rPr>
            <w:rStyle w:val="Hypertextovodkaz"/>
            <w:rFonts w:ascii="Times New Roman" w:hAnsi="Times New Roman" w:cs="Times New Roman"/>
            <w:sz w:val="24"/>
            <w:szCs w:val="24"/>
          </w:rPr>
          <w:t>Obrana proti „šmejdům“ v ener</w:t>
        </w:r>
        <w:r w:rsidR="00E53F2F" w:rsidRPr="000E2700">
          <w:rPr>
            <w:rStyle w:val="Hypertextovodkaz"/>
            <w:rFonts w:ascii="Times New Roman" w:hAnsi="Times New Roman" w:cs="Times New Roman"/>
            <w:sz w:val="24"/>
            <w:szCs w:val="24"/>
          </w:rPr>
          <w:t>g</w:t>
        </w:r>
        <w:r w:rsidR="00E53F2F" w:rsidRPr="000E2700">
          <w:rPr>
            <w:rStyle w:val="Hypertextovodkaz"/>
            <w:rFonts w:ascii="Times New Roman" w:hAnsi="Times New Roman" w:cs="Times New Roman"/>
            <w:sz w:val="24"/>
            <w:szCs w:val="24"/>
          </w:rPr>
          <w:t>etice</w:t>
        </w:r>
      </w:hyperlink>
    </w:p>
    <w:p w:rsidR="000E2700" w:rsidRDefault="000E2700" w:rsidP="00E53F2F">
      <w:pPr>
        <w:widowControl/>
        <w:numPr>
          <w:ilvl w:val="1"/>
          <w:numId w:val="1"/>
        </w:numPr>
        <w:overflowPunct w:val="0"/>
        <w:spacing w:beforeAutospacing="1" w:afterAutospacing="1" w:line="240" w:lineRule="auto"/>
        <w:rPr>
          <w:rFonts w:ascii="Times New Roman" w:hAnsi="Times New Roman" w:cs="Times New Roman"/>
          <w:sz w:val="24"/>
          <w:szCs w:val="24"/>
        </w:rPr>
      </w:pPr>
      <w:hyperlink w:anchor="Energeticke_desatero_ERU" w:history="1">
        <w:r w:rsidR="00E53F2F" w:rsidRPr="000E2700">
          <w:rPr>
            <w:rStyle w:val="Hypertextovodkaz"/>
            <w:rFonts w:ascii="Times New Roman" w:hAnsi="Times New Roman" w:cs="Times New Roman"/>
            <w:sz w:val="24"/>
            <w:szCs w:val="24"/>
          </w:rPr>
          <w:t>Energetické desate</w:t>
        </w:r>
        <w:r w:rsidR="00E53F2F" w:rsidRPr="000E2700">
          <w:rPr>
            <w:rStyle w:val="Hypertextovodkaz"/>
            <w:rFonts w:ascii="Times New Roman" w:hAnsi="Times New Roman" w:cs="Times New Roman"/>
            <w:sz w:val="24"/>
            <w:szCs w:val="24"/>
          </w:rPr>
          <w:t>r</w:t>
        </w:r>
        <w:r w:rsidR="00E53F2F" w:rsidRPr="000E2700">
          <w:rPr>
            <w:rStyle w:val="Hypertextovodkaz"/>
            <w:rFonts w:ascii="Times New Roman" w:hAnsi="Times New Roman" w:cs="Times New Roman"/>
            <w:sz w:val="24"/>
            <w:szCs w:val="24"/>
          </w:rPr>
          <w:t>o od ERU</w:t>
        </w:r>
      </w:hyperlink>
    </w:p>
    <w:p w:rsidR="00E54BBA" w:rsidRPr="00E53F2F" w:rsidRDefault="000E2700" w:rsidP="00E53F2F">
      <w:pPr>
        <w:widowControl/>
        <w:numPr>
          <w:ilvl w:val="1"/>
          <w:numId w:val="1"/>
        </w:numPr>
        <w:overflowPunct w:val="0"/>
        <w:spacing w:beforeAutospacing="1" w:afterAutospacing="1" w:line="240" w:lineRule="auto"/>
        <w:rPr>
          <w:rFonts w:ascii="Times New Roman" w:hAnsi="Times New Roman" w:cs="Times New Roman"/>
          <w:sz w:val="24"/>
          <w:szCs w:val="24"/>
        </w:rPr>
      </w:pPr>
      <w:hyperlink w:anchor="Stanovisko_NS_CR" w:history="1">
        <w:r w:rsidRPr="000E2700">
          <w:rPr>
            <w:rStyle w:val="Hypertextovodkaz"/>
            <w:rFonts w:ascii="Times New Roman" w:hAnsi="Times New Roman" w:cs="Times New Roman"/>
            <w:sz w:val="24"/>
            <w:szCs w:val="24"/>
          </w:rPr>
          <w:t xml:space="preserve">Stanovisko Nejvyššího </w:t>
        </w:r>
        <w:r w:rsidRPr="000E2700">
          <w:rPr>
            <w:rStyle w:val="Hypertextovodkaz"/>
            <w:rFonts w:ascii="Times New Roman" w:hAnsi="Times New Roman" w:cs="Times New Roman"/>
            <w:sz w:val="24"/>
            <w:szCs w:val="24"/>
          </w:rPr>
          <w:t>s</w:t>
        </w:r>
        <w:r w:rsidRPr="000E2700">
          <w:rPr>
            <w:rStyle w:val="Hypertextovodkaz"/>
            <w:rFonts w:ascii="Times New Roman" w:hAnsi="Times New Roman" w:cs="Times New Roman"/>
            <w:sz w:val="24"/>
            <w:szCs w:val="24"/>
          </w:rPr>
          <w:t>oudu ČR</w:t>
        </w:r>
      </w:hyperlink>
      <w:r w:rsidR="00E53F2F" w:rsidRPr="00E53F2F">
        <w:rPr>
          <w:rFonts w:ascii="Times New Roman" w:hAnsi="Times New Roman" w:cs="Times New Roman"/>
          <w:sz w:val="24"/>
          <w:szCs w:val="24"/>
        </w:rPr>
        <w:t xml:space="preserve"> </w:t>
      </w:r>
    </w:p>
    <w:p w:rsidR="00E54BBA" w:rsidRPr="00E53F2F" w:rsidRDefault="00CE5475" w:rsidP="004D74FA">
      <w:pPr>
        <w:widowControl/>
        <w:overflowPunct w:val="0"/>
        <w:spacing w:before="100" w:beforeAutospacing="1" w:after="100" w:afterAutospacing="1" w:line="240" w:lineRule="auto"/>
        <w:ind w:firstLine="0"/>
        <w:outlineLvl w:val="1"/>
        <w:rPr>
          <w:rFonts w:ascii="Times New Roman" w:hAnsi="Times New Roman" w:cs="Times New Roman"/>
          <w:b/>
          <w:bCs/>
          <w:color w:val="00000A"/>
          <w:sz w:val="36"/>
          <w:szCs w:val="36"/>
          <w:lang w:eastAsia="cs-CZ"/>
        </w:rPr>
      </w:pPr>
      <w:bookmarkStart w:id="0" w:name="Prispevky_pojistoven_na_opticke_pomucky"/>
      <w:r w:rsidRPr="00E53F2F">
        <w:rPr>
          <w:rFonts w:ascii="Times New Roman" w:hAnsi="Times New Roman" w:cs="Times New Roman"/>
          <w:b/>
          <w:bCs/>
          <w:color w:val="00000A"/>
          <w:sz w:val="36"/>
          <w:szCs w:val="36"/>
          <w:lang w:eastAsia="cs-CZ"/>
        </w:rPr>
        <w:t>Jak je to s příspěvky pojišťoven na optické pomůcky od 1.</w:t>
      </w:r>
      <w:r w:rsidR="00E53F2F">
        <w:rPr>
          <w:rFonts w:ascii="Times New Roman" w:hAnsi="Times New Roman" w:cs="Times New Roman"/>
          <w:b/>
          <w:bCs/>
          <w:color w:val="00000A"/>
          <w:sz w:val="36"/>
          <w:szCs w:val="36"/>
          <w:lang w:eastAsia="cs-CZ"/>
        </w:rPr>
        <w:t> </w:t>
      </w:r>
      <w:r w:rsidRPr="00E53F2F">
        <w:rPr>
          <w:rFonts w:ascii="Times New Roman" w:hAnsi="Times New Roman" w:cs="Times New Roman"/>
          <w:b/>
          <w:bCs/>
          <w:color w:val="00000A"/>
          <w:sz w:val="36"/>
          <w:szCs w:val="36"/>
          <w:lang w:eastAsia="cs-CZ"/>
        </w:rPr>
        <w:t>srpna 2019?</w:t>
      </w:r>
      <w:r w:rsidR="00E54BBA" w:rsidRPr="00E53F2F">
        <w:rPr>
          <w:rFonts w:ascii="Times New Roman" w:hAnsi="Times New Roman" w:cs="Times New Roman"/>
          <w:b/>
          <w:bCs/>
          <w:color w:val="00000A"/>
          <w:sz w:val="36"/>
          <w:szCs w:val="36"/>
          <w:lang w:eastAsia="cs-CZ"/>
        </w:rPr>
        <w:t xml:space="preserve"> </w:t>
      </w:r>
    </w:p>
    <w:bookmarkEnd w:id="0"/>
    <w:p w:rsidR="00CE5475" w:rsidRPr="00E53F2F" w:rsidRDefault="00CE5475" w:rsidP="00CE5475">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E53F2F">
        <w:rPr>
          <w:rFonts w:ascii="Times New Roman" w:hAnsi="Times New Roman" w:cs="Times New Roman"/>
          <w:color w:val="00000A"/>
          <w:sz w:val="24"/>
          <w:szCs w:val="24"/>
          <w:lang w:eastAsia="cs-CZ"/>
        </w:rPr>
        <w:t>Mediální bouřka kolem příspěvků na brýle (obruby i čočky) zasáhla i naši komunitu, pojďme se tedy podívat, na jaké brýle, komu a kolik budou zdravotní pojišťovny muset přispívat od srpna 2019, kdy nabude účinnosti příslušná část novely zákona o veřejném zdravotním pojištění (z. č. 48/1997 Sb.).</w:t>
      </w:r>
    </w:p>
    <w:p w:rsidR="00CE5475" w:rsidRPr="00E53F2F" w:rsidRDefault="00CE5475" w:rsidP="00CE5475">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E53F2F">
        <w:rPr>
          <w:rFonts w:ascii="Times New Roman" w:hAnsi="Times New Roman" w:cs="Times New Roman"/>
          <w:color w:val="00000A"/>
          <w:sz w:val="24"/>
          <w:szCs w:val="24"/>
          <w:lang w:eastAsia="cs-CZ"/>
        </w:rPr>
        <w:t>Úpravu příspěvků na brýlové obruby a brýlové čočky n</w:t>
      </w:r>
      <w:r w:rsidR="00E53F2F">
        <w:rPr>
          <w:rFonts w:ascii="Times New Roman" w:hAnsi="Times New Roman" w:cs="Times New Roman"/>
          <w:color w:val="00000A"/>
          <w:sz w:val="24"/>
          <w:szCs w:val="24"/>
          <w:lang w:eastAsia="cs-CZ"/>
        </w:rPr>
        <w:t>ajdeme v kapitole 9. přílohy č. </w:t>
      </w:r>
      <w:r w:rsidRPr="00E53F2F">
        <w:rPr>
          <w:rFonts w:ascii="Times New Roman" w:hAnsi="Times New Roman" w:cs="Times New Roman"/>
          <w:color w:val="00000A"/>
          <w:sz w:val="24"/>
          <w:szCs w:val="24"/>
          <w:lang w:eastAsia="cs-CZ"/>
        </w:rPr>
        <w:t>3 zákona o veřejném zdravotním pojištění s názvem „zdravotnické prostředky pro pacienty s</w:t>
      </w:r>
      <w:r w:rsidR="00E53F2F">
        <w:rPr>
          <w:rFonts w:ascii="Times New Roman" w:hAnsi="Times New Roman" w:cs="Times New Roman"/>
          <w:color w:val="00000A"/>
          <w:sz w:val="24"/>
          <w:szCs w:val="24"/>
          <w:lang w:eastAsia="cs-CZ"/>
        </w:rPr>
        <w:t> </w:t>
      </w:r>
      <w:r w:rsidRPr="00E53F2F">
        <w:rPr>
          <w:rFonts w:ascii="Times New Roman" w:hAnsi="Times New Roman" w:cs="Times New Roman"/>
          <w:color w:val="00000A"/>
          <w:sz w:val="24"/>
          <w:szCs w:val="24"/>
          <w:lang w:eastAsia="cs-CZ"/>
        </w:rPr>
        <w:t>poruchou zraku. Ve stejné kapitole jsou upraveny i příspěvky na bílé hole, o nichž jsme v</w:t>
      </w:r>
      <w:r w:rsidR="00E53F2F">
        <w:rPr>
          <w:rFonts w:ascii="Times New Roman" w:hAnsi="Times New Roman" w:cs="Times New Roman"/>
          <w:color w:val="00000A"/>
          <w:sz w:val="24"/>
          <w:szCs w:val="24"/>
          <w:lang w:eastAsia="cs-CZ"/>
        </w:rPr>
        <w:t> </w:t>
      </w:r>
      <w:r w:rsidRPr="00E53F2F">
        <w:rPr>
          <w:rFonts w:ascii="Times New Roman" w:hAnsi="Times New Roman" w:cs="Times New Roman"/>
          <w:color w:val="00000A"/>
          <w:sz w:val="24"/>
          <w:szCs w:val="24"/>
          <w:lang w:eastAsia="cs-CZ"/>
        </w:rPr>
        <w:t>předchozích dvou článcích informovali a o nichž v době psaní tohoto článku žádné nové zprávy nemáme.</w:t>
      </w:r>
    </w:p>
    <w:p w:rsidR="00CE5475" w:rsidRPr="00E53F2F" w:rsidRDefault="00E53F2F" w:rsidP="00CE5475">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Pr>
          <w:rFonts w:ascii="Times New Roman" w:hAnsi="Times New Roman" w:cs="Times New Roman"/>
          <w:color w:val="00000A"/>
          <w:sz w:val="24"/>
          <w:szCs w:val="24"/>
          <w:lang w:eastAsia="cs-CZ"/>
        </w:rPr>
        <w:t>N</w:t>
      </w:r>
      <w:r w:rsidR="00CE5475" w:rsidRPr="00E53F2F">
        <w:rPr>
          <w:rFonts w:ascii="Times New Roman" w:hAnsi="Times New Roman" w:cs="Times New Roman"/>
          <w:color w:val="00000A"/>
          <w:sz w:val="24"/>
          <w:szCs w:val="24"/>
          <w:lang w:eastAsia="cs-CZ"/>
        </w:rPr>
        <w:t>ejvětší poprask se v médiích strhl kolem skutečnosti, že pojišťovny přestanou hradit obruby brýlí. Je pravdou, že dosud měli všichni pojištěnci starší patnácti let nárok na příspěvek ve výši 150 Kč na jedny brýlové obruby jednou za tři roky a že tento příspěvek byl zrušen. I Od srpna 2019 však zůstávají zachovány příspěvky na brýlové obruby pro děti, do šesti let je nárok na 3 kusy ročně, od šesti do patnácti již jen na jedny obruby za rok, příspěvek za jeden kus činí vždy max. 261 Kč. Jde o částku bez DPH, ale DPH by měla být pojištěncům taktéž uhrazena.</w:t>
      </w:r>
    </w:p>
    <w:p w:rsidR="00CE5475" w:rsidRPr="00E53F2F" w:rsidRDefault="00CE5475" w:rsidP="00CE5475">
      <w:pPr>
        <w:widowControl/>
        <w:overflowPunct w:val="0"/>
        <w:spacing w:before="100" w:beforeAutospacing="1" w:after="100" w:afterAutospacing="1" w:line="240" w:lineRule="auto"/>
        <w:ind w:firstLine="0"/>
        <w:rPr>
          <w:rFonts w:ascii="Times New Roman" w:hAnsi="Times New Roman" w:cs="Times New Roman"/>
          <w:b/>
          <w:color w:val="00000A"/>
          <w:sz w:val="24"/>
          <w:szCs w:val="24"/>
          <w:u w:val="single"/>
          <w:lang w:eastAsia="cs-CZ"/>
        </w:rPr>
      </w:pPr>
      <w:bookmarkStart w:id="1" w:name="Priklady_brylovych_cocek"/>
      <w:r w:rsidRPr="00E53F2F">
        <w:rPr>
          <w:rFonts w:ascii="Times New Roman" w:hAnsi="Times New Roman" w:cs="Times New Roman"/>
          <w:b/>
          <w:color w:val="00000A"/>
          <w:sz w:val="24"/>
          <w:szCs w:val="24"/>
          <w:u w:val="single"/>
          <w:lang w:eastAsia="cs-CZ"/>
        </w:rPr>
        <w:t>U brýlových čoček pak uveďme alespoň několik příkladů, jak budou pojišťovnami hrazeny:</w:t>
      </w:r>
    </w:p>
    <w:bookmarkEnd w:id="1"/>
    <w:p w:rsidR="00CE5475" w:rsidRPr="00E53F2F" w:rsidRDefault="00CE5475" w:rsidP="00CE5475">
      <w:pPr>
        <w:pStyle w:val="Odstavecseseznamem"/>
        <w:widowControl/>
        <w:numPr>
          <w:ilvl w:val="0"/>
          <w:numId w:val="14"/>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E53F2F">
        <w:rPr>
          <w:rFonts w:ascii="Times New Roman" w:hAnsi="Times New Roman" w:cs="Times New Roman"/>
          <w:color w:val="00000A"/>
          <w:sz w:val="24"/>
          <w:szCs w:val="24"/>
          <w:lang w:eastAsia="cs-CZ"/>
        </w:rPr>
        <w:t>Příspěvek na jeden pár sférických tvrzených brýlových čoček za rok bude činit 261 Kč, nárok na něj mají děti do věku 6 let.</w:t>
      </w:r>
    </w:p>
    <w:p w:rsidR="00CE5475" w:rsidRPr="00E53F2F" w:rsidRDefault="00CE5475" w:rsidP="00CE5475">
      <w:pPr>
        <w:pStyle w:val="Odstavecseseznamem"/>
        <w:widowControl/>
        <w:numPr>
          <w:ilvl w:val="0"/>
          <w:numId w:val="14"/>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E53F2F">
        <w:rPr>
          <w:rFonts w:ascii="Times New Roman" w:hAnsi="Times New Roman" w:cs="Times New Roman"/>
          <w:color w:val="00000A"/>
          <w:sz w:val="24"/>
          <w:szCs w:val="24"/>
          <w:lang w:eastAsia="cs-CZ"/>
        </w:rPr>
        <w:t>U brýlových čoček tórických tvrzených činí 522 Kč, nárok mají děti do šesti let na tři páry těchto čoček za rok.</w:t>
      </w:r>
    </w:p>
    <w:p w:rsidR="00CE5475" w:rsidRPr="00E53F2F" w:rsidRDefault="00CE5475" w:rsidP="00CE5475">
      <w:pPr>
        <w:pStyle w:val="Odstavecseseznamem"/>
        <w:widowControl/>
        <w:numPr>
          <w:ilvl w:val="0"/>
          <w:numId w:val="14"/>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E53F2F">
        <w:rPr>
          <w:rFonts w:ascii="Times New Roman" w:hAnsi="Times New Roman" w:cs="Times New Roman"/>
          <w:color w:val="00000A"/>
          <w:sz w:val="24"/>
          <w:szCs w:val="24"/>
          <w:lang w:eastAsia="cs-CZ"/>
        </w:rPr>
        <w:t>Děti od šesti do patnácti let mají nárok jen na jeden pár těchto čoček za rok, příspěvek však činí 522 Kč.</w:t>
      </w:r>
    </w:p>
    <w:p w:rsidR="00CE5475" w:rsidRPr="00E53F2F" w:rsidRDefault="00CE5475" w:rsidP="00CE5475">
      <w:pPr>
        <w:pStyle w:val="Odstavecseseznamem"/>
        <w:widowControl/>
        <w:numPr>
          <w:ilvl w:val="0"/>
          <w:numId w:val="14"/>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E53F2F">
        <w:rPr>
          <w:rFonts w:ascii="Times New Roman" w:hAnsi="Times New Roman" w:cs="Times New Roman"/>
          <w:color w:val="00000A"/>
          <w:sz w:val="24"/>
          <w:szCs w:val="24"/>
          <w:lang w:eastAsia="cs-CZ"/>
        </w:rPr>
        <w:t xml:space="preserve">U lentikulárních brýlových čoček činí příspěvek vždy 870 Kč, nárok na něj je podmíněn afakií nebo počtem dioptrií nad plus či mínus 10, děti do šesti let mají nárok </w:t>
      </w:r>
      <w:r w:rsidRPr="00E53F2F">
        <w:rPr>
          <w:rFonts w:ascii="Times New Roman" w:hAnsi="Times New Roman" w:cs="Times New Roman"/>
          <w:color w:val="00000A"/>
          <w:sz w:val="24"/>
          <w:szCs w:val="24"/>
          <w:lang w:eastAsia="cs-CZ"/>
        </w:rPr>
        <w:lastRenderedPageBreak/>
        <w:t>na tři páry za rok, děti do 15 let na jeden pár ročně a od 15 let je nárok na příspěvek jednou za tři roky.</w:t>
      </w:r>
    </w:p>
    <w:p w:rsidR="00CE5475" w:rsidRPr="00E53F2F" w:rsidRDefault="00CE5475" w:rsidP="00CE5475">
      <w:pPr>
        <w:pStyle w:val="Odstavecseseznamem"/>
        <w:widowControl/>
        <w:numPr>
          <w:ilvl w:val="0"/>
          <w:numId w:val="14"/>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E53F2F">
        <w:rPr>
          <w:rFonts w:ascii="Times New Roman" w:hAnsi="Times New Roman" w:cs="Times New Roman"/>
          <w:color w:val="00000A"/>
          <w:sz w:val="24"/>
          <w:szCs w:val="24"/>
          <w:lang w:eastAsia="cs-CZ"/>
        </w:rPr>
        <w:t>Na brýlové vysokoindexové čočky budou pojišťovny přispívat částkou 1739 Kč, a to pojištěncům s myopií, nad 10 dioptrií nebo osobám s poruchami centrálního zorného pole. Počet brýlových čoček je opět odstupňován věkem, děti do 6 let mají nárok na 3</w:t>
      </w:r>
      <w:r w:rsidR="00E53F2F">
        <w:rPr>
          <w:rFonts w:ascii="Times New Roman" w:hAnsi="Times New Roman" w:cs="Times New Roman"/>
          <w:color w:val="00000A"/>
          <w:sz w:val="24"/>
          <w:szCs w:val="24"/>
          <w:lang w:eastAsia="cs-CZ"/>
        </w:rPr>
        <w:t> </w:t>
      </w:r>
      <w:r w:rsidRPr="00E53F2F">
        <w:rPr>
          <w:rFonts w:ascii="Times New Roman" w:hAnsi="Times New Roman" w:cs="Times New Roman"/>
          <w:color w:val="00000A"/>
          <w:sz w:val="24"/>
          <w:szCs w:val="24"/>
          <w:lang w:eastAsia="cs-CZ"/>
        </w:rPr>
        <w:t>páry, do 15 let na jeden pár ročně a nad 15 let jeden pár za tři roky.</w:t>
      </w:r>
    </w:p>
    <w:p w:rsidR="00CE5475" w:rsidRPr="00E53F2F" w:rsidRDefault="00CE5475" w:rsidP="00CE5475">
      <w:pPr>
        <w:pStyle w:val="Odstavecseseznamem"/>
        <w:widowControl/>
        <w:numPr>
          <w:ilvl w:val="0"/>
          <w:numId w:val="14"/>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E53F2F">
        <w:rPr>
          <w:rFonts w:ascii="Times New Roman" w:hAnsi="Times New Roman" w:cs="Times New Roman"/>
          <w:color w:val="00000A"/>
          <w:sz w:val="24"/>
          <w:szCs w:val="24"/>
          <w:lang w:eastAsia="cs-CZ"/>
        </w:rPr>
        <w:t>Jako poslední položku tohoto zdaleka ne úplného výčtu uveďme nárok na brýlové čočky plastové hyperokulární, na něž mohou získat příspěvek děti do 18 let, a to na dva páry ročně, příspěvek může činit maximálně 1739 Kč. Dospělí mají nárok na tento příspěvek jednou za tři roky.</w:t>
      </w:r>
    </w:p>
    <w:p w:rsidR="00CE5475" w:rsidRPr="00E53F2F" w:rsidRDefault="00CE5475" w:rsidP="00CE5475">
      <w:pPr>
        <w:pStyle w:val="Odstavecseseznamem"/>
        <w:widowControl/>
        <w:numPr>
          <w:ilvl w:val="0"/>
          <w:numId w:val="14"/>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E53F2F">
        <w:rPr>
          <w:rFonts w:ascii="Times New Roman" w:hAnsi="Times New Roman" w:cs="Times New Roman"/>
          <w:color w:val="00000A"/>
          <w:sz w:val="24"/>
          <w:szCs w:val="24"/>
          <w:lang w:eastAsia="cs-CZ"/>
        </w:rPr>
        <w:t>Kromě brýlových čoček zůstávají pro těžce slabozraké pojištěnce zachovány také příspěvky na dalekohledové systémy plus příslušenství, a to jak na blízko tak do dálky. Zde je však kromě předepsání oftalmologem nutné schválení revizním lékařem, příspěvek se poskytuje jednou za 7 let a činí 4348 Kč.</w:t>
      </w:r>
    </w:p>
    <w:p w:rsidR="00CE5475" w:rsidRPr="00E53F2F" w:rsidRDefault="00CE5475" w:rsidP="00CE5475">
      <w:pPr>
        <w:pStyle w:val="Odstavecseseznamem"/>
        <w:widowControl/>
        <w:numPr>
          <w:ilvl w:val="0"/>
          <w:numId w:val="14"/>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E53F2F">
        <w:rPr>
          <w:rFonts w:ascii="Times New Roman" w:hAnsi="Times New Roman" w:cs="Times New Roman"/>
          <w:color w:val="00000A"/>
          <w:sz w:val="24"/>
          <w:szCs w:val="24"/>
          <w:lang w:eastAsia="cs-CZ"/>
        </w:rPr>
        <w:t>U asferických lup zvětšujících více než čtyřikrát je maximální úhradový limit stanoven na 1218 Kč, příspěvek schvaluje revizní lékař, nárok na něj je jednou za 5 let.</w:t>
      </w:r>
    </w:p>
    <w:p w:rsidR="00CE5475" w:rsidRPr="00E53F2F" w:rsidRDefault="00CE5475" w:rsidP="00CE5475">
      <w:pPr>
        <w:pStyle w:val="Odstavecseseznamem"/>
        <w:widowControl/>
        <w:numPr>
          <w:ilvl w:val="0"/>
          <w:numId w:val="14"/>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E53F2F">
        <w:rPr>
          <w:rFonts w:ascii="Times New Roman" w:hAnsi="Times New Roman" w:cs="Times New Roman"/>
          <w:color w:val="00000A"/>
          <w:sz w:val="24"/>
          <w:szCs w:val="24"/>
          <w:lang w:eastAsia="cs-CZ"/>
        </w:rPr>
        <w:t>Zcela vypadl příspěvek na asferické lupy do čtyřnásobného zvětšení, který však činil symbolických 100 Kč.</w:t>
      </w:r>
    </w:p>
    <w:p w:rsidR="00CE5475" w:rsidRPr="00E53F2F" w:rsidRDefault="00CE5475" w:rsidP="00CE5475">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E53F2F">
        <w:rPr>
          <w:rFonts w:ascii="Times New Roman" w:hAnsi="Times New Roman" w:cs="Times New Roman"/>
          <w:color w:val="00000A"/>
          <w:sz w:val="24"/>
          <w:szCs w:val="24"/>
          <w:lang w:eastAsia="cs-CZ"/>
        </w:rPr>
        <w:t xml:space="preserve">Koho by současná úprava zajímala podrobně, doporučuji na serveru </w:t>
      </w:r>
      <w:hyperlink r:id="rId7" w:history="1">
        <w:r w:rsidR="00E53F2F" w:rsidRPr="008C4119">
          <w:rPr>
            <w:rStyle w:val="Hypertextovodkaz"/>
            <w:rFonts w:ascii="Times New Roman" w:hAnsi="Times New Roman" w:cs="Times New Roman"/>
            <w:sz w:val="24"/>
            <w:szCs w:val="24"/>
            <w:lang w:eastAsia="cs-CZ"/>
          </w:rPr>
          <w:t>www.zakonyprolidi.cz</w:t>
        </w:r>
      </w:hyperlink>
      <w:r w:rsidR="00E53F2F">
        <w:rPr>
          <w:rFonts w:ascii="Times New Roman" w:hAnsi="Times New Roman" w:cs="Times New Roman"/>
          <w:color w:val="00000A"/>
          <w:sz w:val="24"/>
          <w:szCs w:val="24"/>
          <w:lang w:eastAsia="cs-CZ"/>
        </w:rPr>
        <w:t xml:space="preserve"> v</w:t>
      </w:r>
      <w:r w:rsidRPr="00E53F2F">
        <w:rPr>
          <w:rFonts w:ascii="Times New Roman" w:hAnsi="Times New Roman" w:cs="Times New Roman"/>
          <w:color w:val="00000A"/>
          <w:sz w:val="24"/>
          <w:szCs w:val="24"/>
          <w:lang w:eastAsia="cs-CZ"/>
        </w:rPr>
        <w:t>yhledat zákon o veřejném zdravotním pojištění pomocí čísla 48/1997 Sb. a zde vyhledat přílohu č. 3 a kapitolu 9. Tabulka je (alespoň s odečítačem Jaws) přístupná.</w:t>
      </w:r>
    </w:p>
    <w:p w:rsidR="00CE5475" w:rsidRPr="00E53F2F" w:rsidRDefault="00CE5475" w:rsidP="00CE5475">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E53F2F">
        <w:rPr>
          <w:rFonts w:ascii="Times New Roman" w:hAnsi="Times New Roman" w:cs="Times New Roman"/>
          <w:color w:val="00000A"/>
          <w:sz w:val="24"/>
          <w:szCs w:val="24"/>
          <w:lang w:eastAsia="cs-CZ"/>
        </w:rPr>
        <w:t>Celkově lze tedy, myslím, říci, že by od srpna tohoto roku nemělo dojít k nijak zásadnímu zhoršení dostupnosti optických pomůcek, Některé příspěvky oproti dosavadním jsou nepatrně nižší, zde však musím upozornit, že k uvedeným limitům je ještě třeba připočíst 15-ti procentní daň z přidané hodnoty, kterou pojišťovny uhradí.</w:t>
      </w:r>
    </w:p>
    <w:p w:rsidR="00E54BBA" w:rsidRPr="00E53F2F" w:rsidRDefault="00CE5475" w:rsidP="00CE5475">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E53F2F">
        <w:rPr>
          <w:rFonts w:ascii="Times New Roman" w:hAnsi="Times New Roman" w:cs="Times New Roman"/>
          <w:color w:val="00000A"/>
          <w:sz w:val="24"/>
          <w:szCs w:val="24"/>
          <w:lang w:eastAsia="cs-CZ"/>
        </w:rPr>
        <w:t>Pokud bychom měli navrženou úpravu zhodnotit z hlediska osob s těžkým zrakovým postižením, (a není to úplně jednoduché, protože by k tomu bylo zapotřebí hlubších znalostí aktuálního trhu s optickými pomůckami), k žádnému dramatickému dopadu by dojít nemělo. Zachována je periodicita nároku, téměř i výše příspěvku, procesní stránka se nemění, tedy pomůcky předepisuje oftalmolog, u některých je nutné schválení revizním lékařem pojišťovny.</w:t>
      </w:r>
    </w:p>
    <w:p w:rsidR="004D1C77" w:rsidRPr="00E53F2F" w:rsidRDefault="00CE5475" w:rsidP="00E54BBA">
      <w:pPr>
        <w:widowControl/>
        <w:overflowPunct w:val="0"/>
        <w:spacing w:before="100" w:beforeAutospacing="1" w:after="100" w:afterAutospacing="1" w:line="240" w:lineRule="auto"/>
        <w:ind w:firstLine="0"/>
        <w:outlineLvl w:val="1"/>
        <w:rPr>
          <w:rFonts w:ascii="Times New Roman" w:hAnsi="Times New Roman" w:cs="Times New Roman"/>
          <w:b/>
          <w:bCs/>
          <w:color w:val="00000A"/>
          <w:sz w:val="36"/>
          <w:szCs w:val="36"/>
          <w:lang w:eastAsia="cs-CZ"/>
        </w:rPr>
      </w:pPr>
      <w:bookmarkStart w:id="2" w:name="Obrana_proti_energetickym_smejdum"/>
      <w:r w:rsidRPr="00E53F2F">
        <w:rPr>
          <w:rFonts w:ascii="Times New Roman" w:hAnsi="Times New Roman" w:cs="Times New Roman"/>
          <w:b/>
          <w:bCs/>
          <w:color w:val="00000A"/>
          <w:sz w:val="36"/>
          <w:szCs w:val="36"/>
          <w:lang w:eastAsia="cs-CZ"/>
        </w:rPr>
        <w:t>Ne každá změna dodavatele energií je výhodná pro spotřebitele</w:t>
      </w:r>
      <w:r w:rsidR="004D1C77" w:rsidRPr="00E53F2F">
        <w:rPr>
          <w:rFonts w:ascii="Times New Roman" w:hAnsi="Times New Roman" w:cs="Times New Roman"/>
          <w:b/>
          <w:bCs/>
          <w:color w:val="00000A"/>
          <w:sz w:val="36"/>
          <w:szCs w:val="36"/>
          <w:lang w:eastAsia="cs-CZ"/>
        </w:rPr>
        <w:t xml:space="preserve"> </w:t>
      </w:r>
    </w:p>
    <w:p w:rsidR="00CE5475" w:rsidRPr="00E53F2F" w:rsidRDefault="00CE5475" w:rsidP="00CE5475">
      <w:pPr>
        <w:widowControl/>
        <w:overflowPunct w:val="0"/>
        <w:spacing w:beforeAutospacing="1" w:afterAutospacing="1" w:line="240" w:lineRule="auto"/>
        <w:ind w:firstLine="0"/>
        <w:rPr>
          <w:rFonts w:ascii="Times New Roman" w:hAnsi="Times New Roman" w:cs="Times New Roman"/>
          <w:color w:val="00000A"/>
          <w:sz w:val="24"/>
          <w:szCs w:val="24"/>
          <w:lang w:eastAsia="cs-CZ"/>
        </w:rPr>
      </w:pPr>
      <w:bookmarkStart w:id="3" w:name="__DdeLink__254_46380079"/>
      <w:bookmarkEnd w:id="2"/>
      <w:bookmarkEnd w:id="3"/>
      <w:r w:rsidRPr="00E53F2F">
        <w:rPr>
          <w:rFonts w:ascii="Times New Roman" w:hAnsi="Times New Roman" w:cs="Times New Roman"/>
          <w:color w:val="00000A"/>
          <w:sz w:val="24"/>
          <w:szCs w:val="24"/>
          <w:lang w:eastAsia="cs-CZ"/>
        </w:rPr>
        <w:t>Je už celkem všeobecně známo, že změna dodavatele elektřiny nebo plynu se nemusí vždy vyplatit, naopak. V takových případech se mluví o tzv. energetických šmejdech, kteří v této oblasti začali „podnikat“ zpravidla jako zprostředkovatelé smluv mezi spotřebitelem – zákazníkem na jedné straně a dodavatelem energie na straně druhé.</w:t>
      </w:r>
    </w:p>
    <w:p w:rsidR="00CE5475" w:rsidRPr="00E53F2F" w:rsidRDefault="00CE5475" w:rsidP="00CE5475">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E53F2F">
        <w:rPr>
          <w:rFonts w:ascii="Times New Roman" w:hAnsi="Times New Roman" w:cs="Times New Roman"/>
          <w:color w:val="00000A"/>
          <w:sz w:val="24"/>
          <w:szCs w:val="24"/>
          <w:lang w:eastAsia="cs-CZ"/>
        </w:rPr>
        <w:t>Protože tyto firmy převážně opět cílily zejména na seniory a situace začala být neúnosná, rozhodlo se Ministerstvo průmyslu a obchodu změnit zákon o ochraně spotřebitele a skončit s</w:t>
      </w:r>
      <w:r w:rsidR="00E53F2F">
        <w:rPr>
          <w:rFonts w:ascii="Times New Roman" w:hAnsi="Times New Roman" w:cs="Times New Roman"/>
          <w:color w:val="00000A"/>
          <w:sz w:val="24"/>
          <w:szCs w:val="24"/>
          <w:lang w:eastAsia="cs-CZ"/>
        </w:rPr>
        <w:t> </w:t>
      </w:r>
      <w:r w:rsidRPr="00E53F2F">
        <w:rPr>
          <w:rFonts w:ascii="Times New Roman" w:hAnsi="Times New Roman" w:cs="Times New Roman"/>
          <w:color w:val="00000A"/>
          <w:sz w:val="24"/>
          <w:szCs w:val="24"/>
          <w:lang w:eastAsia="cs-CZ"/>
        </w:rPr>
        <w:t>praktikami jako jsou podomní aukce energií od těchto zprostředkovatelů neboli přeprodejců, triky s dárky jako jsou například žárovky „zdarma“ nebo nepřiměřené sankce při odstoupení od smlouvy. Ovšem nejspíš až od roku 2020.</w:t>
      </w:r>
    </w:p>
    <w:p w:rsidR="00CE5475" w:rsidRPr="00E53F2F" w:rsidRDefault="00CE5475" w:rsidP="00CE5475">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E53F2F">
        <w:rPr>
          <w:rFonts w:ascii="Times New Roman" w:hAnsi="Times New Roman" w:cs="Times New Roman"/>
          <w:color w:val="00000A"/>
          <w:sz w:val="24"/>
          <w:szCs w:val="24"/>
          <w:lang w:eastAsia="cs-CZ"/>
        </w:rPr>
        <w:t>Novelou má být například stanovena doba trvání smlouvy na dobu určitou mezi obchodníkem a spotřebitelem nanejvýš na 3 roky. Nyní tato doba není omezena vůbec. Po uplynutí 3 let bude smlouva automaticky považována za smlouvu na dobu neurčitou, což spotřebiteli umožní snazší odstoupení. Ve smlouvách na dobu určitou s automatickým prodloužením závazku také bývá záměrně nastavené příliš krátké časové období, ve kterém mohli spotřebitelé projevit svoji vůli neprodloužit smlouvu - nově bude spotřebitel oprávněn smlouvu vypovědět kdykoliv do 15. dne před uplynutím sjednané doby trvání smlouvy. Dále bude oprávněn bez jakékoliv sankce vypovědět smlouvu, jestliže prokáže, že odběrné místo přestal užívat nebo že nárok užívat odběrné místo vznikl jiné osobě.</w:t>
      </w:r>
    </w:p>
    <w:p w:rsidR="00CE5475" w:rsidRPr="00E53F2F" w:rsidRDefault="00CE5475" w:rsidP="00CE5475">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E53F2F">
        <w:rPr>
          <w:rFonts w:ascii="Times New Roman" w:hAnsi="Times New Roman" w:cs="Times New Roman"/>
          <w:color w:val="00000A"/>
          <w:sz w:val="24"/>
          <w:szCs w:val="24"/>
          <w:lang w:eastAsia="cs-CZ"/>
        </w:rPr>
        <w:t xml:space="preserve">Triky s dárky budou zakázány tak, že budou neplatné jakékoliv sankce plynoucí z toho, že smlouva skončila například výpovědí bez uvedení důvodu v zákonné lhůtě 14 dnů od jejího uzavření. V praxi prodejci spotřebitelům vnucují třeba LED </w:t>
      </w:r>
      <w:r w:rsidR="000077CB" w:rsidRPr="00E53F2F">
        <w:rPr>
          <w:rFonts w:ascii="Times New Roman" w:hAnsi="Times New Roman" w:cs="Times New Roman"/>
          <w:color w:val="00000A"/>
          <w:sz w:val="24"/>
          <w:szCs w:val="24"/>
          <w:lang w:eastAsia="cs-CZ"/>
        </w:rPr>
        <w:t>žárovky, a i když</w:t>
      </w:r>
      <w:r w:rsidRPr="00E53F2F">
        <w:rPr>
          <w:rFonts w:ascii="Times New Roman" w:hAnsi="Times New Roman" w:cs="Times New Roman"/>
          <w:color w:val="00000A"/>
          <w:sz w:val="24"/>
          <w:szCs w:val="24"/>
          <w:lang w:eastAsia="cs-CZ"/>
        </w:rPr>
        <w:t xml:space="preserve"> spotřebitel stačí včas v této lhůtě smlouvu vypovědět, požadují za tyto „dárky“ zaplacení nemalé sankce v</w:t>
      </w:r>
      <w:r w:rsidR="00E53F2F">
        <w:rPr>
          <w:rFonts w:ascii="Times New Roman" w:hAnsi="Times New Roman" w:cs="Times New Roman"/>
          <w:color w:val="00000A"/>
          <w:sz w:val="24"/>
          <w:szCs w:val="24"/>
          <w:lang w:eastAsia="cs-CZ"/>
        </w:rPr>
        <w:t> </w:t>
      </w:r>
      <w:r w:rsidRPr="00E53F2F">
        <w:rPr>
          <w:rFonts w:ascii="Times New Roman" w:hAnsi="Times New Roman" w:cs="Times New Roman"/>
          <w:color w:val="00000A"/>
          <w:sz w:val="24"/>
          <w:szCs w:val="24"/>
          <w:lang w:eastAsia="cs-CZ"/>
        </w:rPr>
        <w:t>řádu tisíců korun.</w:t>
      </w:r>
    </w:p>
    <w:p w:rsidR="00CE5475" w:rsidRPr="00E53F2F" w:rsidRDefault="00CE5475" w:rsidP="00CE5475">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E53F2F">
        <w:rPr>
          <w:rFonts w:ascii="Times New Roman" w:hAnsi="Times New Roman" w:cs="Times New Roman"/>
          <w:color w:val="00000A"/>
          <w:sz w:val="24"/>
          <w:szCs w:val="24"/>
          <w:lang w:eastAsia="cs-CZ"/>
        </w:rPr>
        <w:t>Ačkoliv se to i teď zdá jako samozřejmost, spotřebitel bude mít právo na bezodkladné písemné vyhotovení smlouvy a na poskytnutí kopie smlouvy nebo souhrnu podstatných náležitostí smlouvy. Protože spotřebitel uděluje zprostředkovateli plnou moc k jednání s</w:t>
      </w:r>
      <w:r w:rsidR="00E53F2F">
        <w:rPr>
          <w:rFonts w:ascii="Times New Roman" w:hAnsi="Times New Roman" w:cs="Times New Roman"/>
          <w:color w:val="00000A"/>
          <w:sz w:val="24"/>
          <w:szCs w:val="24"/>
          <w:lang w:eastAsia="cs-CZ"/>
        </w:rPr>
        <w:t> </w:t>
      </w:r>
      <w:r w:rsidRPr="00E53F2F">
        <w:rPr>
          <w:rFonts w:ascii="Times New Roman" w:hAnsi="Times New Roman" w:cs="Times New Roman"/>
          <w:color w:val="00000A"/>
          <w:sz w:val="24"/>
          <w:szCs w:val="24"/>
          <w:lang w:eastAsia="cs-CZ"/>
        </w:rPr>
        <w:t>dodavatelem energie, platnost těchto plných mocí má být omezena jen na šest měsíců. Podmínkou pro výkon zprostředkovatelské činnosti bude zápis do registru Energetického regulačního úřadu, který nad podnikate</w:t>
      </w:r>
      <w:r w:rsidRPr="00E53F2F">
        <w:rPr>
          <w:rFonts w:ascii="Times New Roman" w:hAnsi="Times New Roman" w:cs="Times New Roman"/>
          <w:color w:val="00000A"/>
          <w:sz w:val="24"/>
          <w:szCs w:val="24"/>
          <w:lang w:eastAsia="cs-CZ"/>
        </w:rPr>
        <w:t>li s energiemi vykonává dohled.</w:t>
      </w:r>
    </w:p>
    <w:p w:rsidR="00CE5475" w:rsidRPr="00E53F2F" w:rsidRDefault="00CE5475" w:rsidP="00CE5475">
      <w:pPr>
        <w:widowControl/>
        <w:overflowPunct w:val="0"/>
        <w:spacing w:before="100" w:beforeAutospacing="1" w:after="100" w:afterAutospacing="1" w:line="240" w:lineRule="auto"/>
        <w:ind w:firstLine="0"/>
        <w:rPr>
          <w:rFonts w:ascii="Times New Roman" w:hAnsi="Times New Roman" w:cs="Times New Roman"/>
          <w:b/>
          <w:color w:val="00000A"/>
          <w:sz w:val="24"/>
          <w:szCs w:val="24"/>
          <w:u w:val="single"/>
          <w:lang w:eastAsia="cs-CZ"/>
        </w:rPr>
      </w:pPr>
      <w:bookmarkStart w:id="4" w:name="Energeticke_desatero_ERU"/>
      <w:r w:rsidRPr="00E53F2F">
        <w:rPr>
          <w:rFonts w:ascii="Times New Roman" w:hAnsi="Times New Roman" w:cs="Times New Roman"/>
          <w:b/>
          <w:color w:val="00000A"/>
          <w:sz w:val="24"/>
          <w:szCs w:val="24"/>
          <w:u w:val="single"/>
          <w:lang w:eastAsia="cs-CZ"/>
        </w:rPr>
        <w:t>Energetický regulační úřad doporučuj</w:t>
      </w:r>
      <w:r w:rsidRPr="00E53F2F">
        <w:rPr>
          <w:rFonts w:ascii="Times New Roman" w:hAnsi="Times New Roman" w:cs="Times New Roman"/>
          <w:b/>
          <w:color w:val="00000A"/>
          <w:sz w:val="24"/>
          <w:szCs w:val="24"/>
          <w:u w:val="single"/>
          <w:lang w:eastAsia="cs-CZ"/>
        </w:rPr>
        <w:t>e vždy dodržovat toto desatero:</w:t>
      </w:r>
    </w:p>
    <w:bookmarkEnd w:id="4"/>
    <w:p w:rsidR="00CE5475" w:rsidRPr="00E53F2F" w:rsidRDefault="00CE5475" w:rsidP="00CE5475">
      <w:pPr>
        <w:pStyle w:val="Odstavecseseznamem"/>
        <w:widowControl/>
        <w:numPr>
          <w:ilvl w:val="0"/>
          <w:numId w:val="13"/>
        </w:numPr>
        <w:overflowPunct w:val="0"/>
        <w:spacing w:beforeAutospacing="1" w:afterAutospacing="1" w:line="240" w:lineRule="auto"/>
        <w:rPr>
          <w:rFonts w:ascii="Times New Roman" w:hAnsi="Times New Roman" w:cs="Times New Roman"/>
          <w:color w:val="00000A"/>
          <w:sz w:val="24"/>
          <w:szCs w:val="24"/>
          <w:lang w:eastAsia="cs-CZ"/>
        </w:rPr>
      </w:pPr>
      <w:r w:rsidRPr="00E53F2F">
        <w:rPr>
          <w:rFonts w:ascii="Times New Roman" w:hAnsi="Times New Roman" w:cs="Times New Roman"/>
          <w:color w:val="00000A"/>
          <w:sz w:val="24"/>
          <w:szCs w:val="24"/>
          <w:lang w:eastAsia="cs-CZ"/>
        </w:rPr>
        <w:t>Nenechte se nikým do ničeho nutit. Vaše cesta za levnější elektřinou či plynem by měla začít vlastní aktivitou, nikoliv iniciativou obchodníka. Jestliže se přesto rozhodnete s ním jednat, udělejte si alespoň rámcovou představu o tom, čeho chcete dosáhnout. Pomohou internetové srovnávače, jeden nabízí ERÚ:</w:t>
      </w:r>
    </w:p>
    <w:p w:rsidR="00CE5475" w:rsidRPr="00E53F2F" w:rsidRDefault="00CE5475" w:rsidP="00CE5475">
      <w:pPr>
        <w:pStyle w:val="Odstavecseseznamem"/>
        <w:widowControl/>
        <w:numPr>
          <w:ilvl w:val="0"/>
          <w:numId w:val="13"/>
        </w:numPr>
        <w:overflowPunct w:val="0"/>
        <w:spacing w:beforeAutospacing="1" w:afterAutospacing="1" w:line="240" w:lineRule="auto"/>
        <w:rPr>
          <w:rFonts w:ascii="Times New Roman" w:hAnsi="Times New Roman" w:cs="Times New Roman"/>
          <w:color w:val="00000A"/>
          <w:sz w:val="24"/>
          <w:szCs w:val="24"/>
          <w:lang w:eastAsia="cs-CZ"/>
        </w:rPr>
      </w:pPr>
      <w:hyperlink r:id="rId8" w:history="1">
        <w:r w:rsidRPr="00E53F2F">
          <w:rPr>
            <w:rStyle w:val="Hypertextovodkaz"/>
            <w:rFonts w:ascii="Times New Roman" w:hAnsi="Times New Roman" w:cs="Times New Roman"/>
            <w:sz w:val="24"/>
            <w:szCs w:val="24"/>
            <w:lang w:eastAsia="cs-CZ"/>
          </w:rPr>
          <w:t>http://kalkulator.eru.cz/</w:t>
        </w:r>
      </w:hyperlink>
    </w:p>
    <w:p w:rsidR="00CE5475" w:rsidRPr="00E53F2F" w:rsidRDefault="00CE5475" w:rsidP="00CE5475">
      <w:pPr>
        <w:pStyle w:val="Odstavecseseznamem"/>
        <w:widowControl/>
        <w:numPr>
          <w:ilvl w:val="0"/>
          <w:numId w:val="13"/>
        </w:numPr>
        <w:overflowPunct w:val="0"/>
        <w:spacing w:beforeAutospacing="1" w:afterAutospacing="1" w:line="240" w:lineRule="auto"/>
        <w:rPr>
          <w:rFonts w:ascii="Times New Roman" w:hAnsi="Times New Roman" w:cs="Times New Roman"/>
          <w:color w:val="00000A"/>
          <w:sz w:val="24"/>
          <w:szCs w:val="24"/>
          <w:lang w:eastAsia="cs-CZ"/>
        </w:rPr>
      </w:pPr>
      <w:r w:rsidRPr="00E53F2F">
        <w:rPr>
          <w:rFonts w:ascii="Times New Roman" w:hAnsi="Times New Roman" w:cs="Times New Roman"/>
          <w:color w:val="00000A"/>
          <w:sz w:val="24"/>
          <w:szCs w:val="24"/>
          <w:lang w:eastAsia="cs-CZ"/>
        </w:rPr>
        <w:t>Vždy se ptejte, zda se bavíte přímo s dodavatelem, nebo se zprostředkovatelem. Je v</w:t>
      </w:r>
      <w:r w:rsidR="00E53F2F">
        <w:rPr>
          <w:rFonts w:ascii="Times New Roman" w:hAnsi="Times New Roman" w:cs="Times New Roman"/>
          <w:color w:val="00000A"/>
          <w:sz w:val="24"/>
          <w:szCs w:val="24"/>
          <w:lang w:eastAsia="cs-CZ"/>
        </w:rPr>
        <w:t> </w:t>
      </w:r>
      <w:r w:rsidRPr="00E53F2F">
        <w:rPr>
          <w:rFonts w:ascii="Times New Roman" w:hAnsi="Times New Roman" w:cs="Times New Roman"/>
          <w:color w:val="00000A"/>
          <w:sz w:val="24"/>
          <w:szCs w:val="24"/>
          <w:lang w:eastAsia="cs-CZ"/>
        </w:rPr>
        <w:t>tom veliký rozdíl. Pro každého platí jiné právní předpisy, důležité rozdíly jsou zejména ve lhůtách pro odstoupení od uzavřených smluv. Dodavatel vlastní licenci na dodávky energií, zprostředkovatel jen nabízí (přeprodává) nabídky jednoho nebo více dodavatelů. Zprostředkovatel také může chtít exkluzivitu ke správě vašeho odběrného místa – pokud mu ji udělíte, vzdáváte se práva na vlastní volbu dodavatele po předem sjednanou dobu pod hrozbou sankce.</w:t>
      </w:r>
    </w:p>
    <w:p w:rsidR="00CE5475" w:rsidRPr="00E53F2F" w:rsidRDefault="00CE5475" w:rsidP="00CE5475">
      <w:pPr>
        <w:pStyle w:val="Odstavecseseznamem"/>
        <w:widowControl/>
        <w:numPr>
          <w:ilvl w:val="0"/>
          <w:numId w:val="13"/>
        </w:numPr>
        <w:overflowPunct w:val="0"/>
        <w:spacing w:beforeAutospacing="1" w:afterAutospacing="1" w:line="240" w:lineRule="auto"/>
        <w:rPr>
          <w:rFonts w:ascii="Times New Roman" w:hAnsi="Times New Roman" w:cs="Times New Roman"/>
          <w:color w:val="00000A"/>
          <w:sz w:val="24"/>
          <w:szCs w:val="24"/>
          <w:lang w:eastAsia="cs-CZ"/>
        </w:rPr>
      </w:pPr>
      <w:r w:rsidRPr="00E53F2F">
        <w:rPr>
          <w:rFonts w:ascii="Times New Roman" w:hAnsi="Times New Roman" w:cs="Times New Roman"/>
          <w:color w:val="00000A"/>
          <w:sz w:val="24"/>
          <w:szCs w:val="24"/>
          <w:lang w:eastAsia="cs-CZ"/>
        </w:rPr>
        <w:t>Když někdo zvoní na vaše dveře a tvrdí, že je zaměstnancem ERÚ nebo ČOI, velmi pravděpodobně lže. Úřady energie neprodávají, nekontrolují faktury podomním způsobem apod. Stejné je to se zástupci distributorů, kteří sice kontrolují měřidla, energii ale neprodávají. Říká vám podomní prodejce, že přichází od vašeho současného dodavatele? Ať to dokáže. Nekorektní prodejci se často za velké dodavatele vydávají – osobně i po telefonu.</w:t>
      </w:r>
    </w:p>
    <w:p w:rsidR="00CE5475" w:rsidRPr="00E53F2F" w:rsidRDefault="00CE5475" w:rsidP="00CE5475">
      <w:pPr>
        <w:pStyle w:val="Odstavecseseznamem"/>
        <w:widowControl/>
        <w:numPr>
          <w:ilvl w:val="0"/>
          <w:numId w:val="13"/>
        </w:numPr>
        <w:overflowPunct w:val="0"/>
        <w:spacing w:beforeAutospacing="1" w:afterAutospacing="1" w:line="240" w:lineRule="auto"/>
        <w:rPr>
          <w:rFonts w:ascii="Times New Roman" w:hAnsi="Times New Roman" w:cs="Times New Roman"/>
          <w:color w:val="00000A"/>
          <w:sz w:val="24"/>
          <w:szCs w:val="24"/>
          <w:lang w:eastAsia="cs-CZ"/>
        </w:rPr>
      </w:pPr>
      <w:r w:rsidRPr="00E53F2F">
        <w:rPr>
          <w:rFonts w:ascii="Times New Roman" w:hAnsi="Times New Roman" w:cs="Times New Roman"/>
          <w:color w:val="00000A"/>
          <w:sz w:val="24"/>
          <w:szCs w:val="24"/>
          <w:lang w:eastAsia="cs-CZ"/>
        </w:rPr>
        <w:t>Je u vás podomní prodej omezený vyhláškou a podomní prodejce zákaz porušil? Obraťte se na městskou policii.</w:t>
      </w:r>
    </w:p>
    <w:p w:rsidR="00CE5475" w:rsidRPr="00E53F2F" w:rsidRDefault="00CE5475" w:rsidP="00CE5475">
      <w:pPr>
        <w:pStyle w:val="Odstavecseseznamem"/>
        <w:widowControl/>
        <w:numPr>
          <w:ilvl w:val="0"/>
          <w:numId w:val="13"/>
        </w:numPr>
        <w:overflowPunct w:val="0"/>
        <w:spacing w:beforeAutospacing="1" w:afterAutospacing="1" w:line="240" w:lineRule="auto"/>
        <w:rPr>
          <w:rFonts w:ascii="Times New Roman" w:hAnsi="Times New Roman" w:cs="Times New Roman"/>
          <w:color w:val="00000A"/>
          <w:sz w:val="24"/>
          <w:szCs w:val="24"/>
          <w:lang w:eastAsia="cs-CZ"/>
        </w:rPr>
      </w:pPr>
      <w:r w:rsidRPr="00E53F2F">
        <w:rPr>
          <w:rFonts w:ascii="Times New Roman" w:hAnsi="Times New Roman" w:cs="Times New Roman"/>
          <w:color w:val="00000A"/>
          <w:sz w:val="24"/>
          <w:szCs w:val="24"/>
          <w:lang w:eastAsia="cs-CZ"/>
        </w:rPr>
        <w:t>Volá někdo na váš telefon, píše na mail? Ptejte se, odkud má kontakt a zda disponuje vaším souhlasem pro zasílání obchodního sdělení. Jestliže souhlas nemá, hlaste jednání podnikatele na Úřad pro ochranu osobních údajů (</w:t>
      </w:r>
      <w:hyperlink r:id="rId9" w:history="1">
        <w:r w:rsidRPr="00E53F2F">
          <w:rPr>
            <w:rStyle w:val="Hypertextovodkaz"/>
            <w:rFonts w:ascii="Times New Roman" w:hAnsi="Times New Roman" w:cs="Times New Roman"/>
            <w:sz w:val="24"/>
            <w:szCs w:val="24"/>
            <w:lang w:eastAsia="cs-CZ"/>
          </w:rPr>
          <w:t>http://www.uoou.cz/</w:t>
        </w:r>
      </w:hyperlink>
      <w:r w:rsidRPr="00E53F2F">
        <w:rPr>
          <w:rFonts w:ascii="Times New Roman" w:hAnsi="Times New Roman" w:cs="Times New Roman"/>
          <w:color w:val="00000A"/>
          <w:sz w:val="24"/>
          <w:szCs w:val="24"/>
          <w:lang w:eastAsia="cs-CZ"/>
        </w:rPr>
        <w:t>). Během telefonického hovoru se k ničemu se nezavazujte.</w:t>
      </w:r>
    </w:p>
    <w:p w:rsidR="00CE5475" w:rsidRPr="00E53F2F" w:rsidRDefault="00CE5475" w:rsidP="00CE5475">
      <w:pPr>
        <w:pStyle w:val="Odstavecseseznamem"/>
        <w:widowControl/>
        <w:numPr>
          <w:ilvl w:val="0"/>
          <w:numId w:val="13"/>
        </w:numPr>
        <w:overflowPunct w:val="0"/>
        <w:spacing w:beforeAutospacing="1" w:afterAutospacing="1" w:line="240" w:lineRule="auto"/>
        <w:rPr>
          <w:rFonts w:ascii="Times New Roman" w:hAnsi="Times New Roman" w:cs="Times New Roman"/>
          <w:color w:val="00000A"/>
          <w:sz w:val="24"/>
          <w:szCs w:val="24"/>
          <w:lang w:eastAsia="cs-CZ"/>
        </w:rPr>
      </w:pPr>
      <w:r w:rsidRPr="00E53F2F">
        <w:rPr>
          <w:rFonts w:ascii="Times New Roman" w:hAnsi="Times New Roman" w:cs="Times New Roman"/>
          <w:color w:val="00000A"/>
          <w:sz w:val="24"/>
          <w:szCs w:val="24"/>
          <w:lang w:eastAsia="cs-CZ"/>
        </w:rPr>
        <w:t>Neberte si dárky, odmítněte služby „za určitých podmínek zdarma". Známým příkladem zneužití „dárků" jsou LED žárovky nebo neplacené poradenství. Stačí vypovědět smlouvu ve lhůtě, kdy vám to energetický zákon umožňuje bez sankce, ale prodejce či zprostředkovatel vám „dárky", zakoupené podle občanského zákoníku, zpoplatní.</w:t>
      </w:r>
    </w:p>
    <w:p w:rsidR="00CE5475" w:rsidRPr="00E53F2F" w:rsidRDefault="00CE5475" w:rsidP="00CE5475">
      <w:pPr>
        <w:pStyle w:val="Odstavecseseznamem"/>
        <w:widowControl/>
        <w:numPr>
          <w:ilvl w:val="0"/>
          <w:numId w:val="13"/>
        </w:numPr>
        <w:overflowPunct w:val="0"/>
        <w:spacing w:beforeAutospacing="1" w:afterAutospacing="1" w:line="240" w:lineRule="auto"/>
        <w:rPr>
          <w:rFonts w:ascii="Times New Roman" w:hAnsi="Times New Roman" w:cs="Times New Roman"/>
          <w:color w:val="00000A"/>
          <w:sz w:val="24"/>
          <w:szCs w:val="24"/>
          <w:lang w:eastAsia="cs-CZ"/>
        </w:rPr>
      </w:pPr>
      <w:r w:rsidRPr="00E53F2F">
        <w:rPr>
          <w:rFonts w:ascii="Times New Roman" w:hAnsi="Times New Roman" w:cs="Times New Roman"/>
          <w:color w:val="00000A"/>
          <w:sz w:val="24"/>
          <w:szCs w:val="24"/>
          <w:lang w:eastAsia="cs-CZ"/>
        </w:rPr>
        <w:t>Nikdy se nezavazujte, že podepíšete smlouvu, kterou ještě nemáte k dispozici. Do telefonu žádnému prodejci neříkejte „ano", protože smlouvu lze uzavřít i telefonicky. Pokud se přihlašujete do aukce, vybírejte takovou, která umožňuje finální nabídku nepodepsat (samozřejmě bez sankce).</w:t>
      </w:r>
    </w:p>
    <w:p w:rsidR="00CE5475" w:rsidRPr="00E53F2F" w:rsidRDefault="00CE5475" w:rsidP="00CE5475">
      <w:pPr>
        <w:pStyle w:val="Odstavecseseznamem"/>
        <w:widowControl/>
        <w:numPr>
          <w:ilvl w:val="0"/>
          <w:numId w:val="13"/>
        </w:numPr>
        <w:overflowPunct w:val="0"/>
        <w:spacing w:beforeAutospacing="1" w:afterAutospacing="1" w:line="240" w:lineRule="auto"/>
        <w:rPr>
          <w:rFonts w:ascii="Times New Roman" w:hAnsi="Times New Roman" w:cs="Times New Roman"/>
          <w:color w:val="00000A"/>
          <w:sz w:val="24"/>
          <w:szCs w:val="24"/>
          <w:lang w:eastAsia="cs-CZ"/>
        </w:rPr>
      </w:pPr>
      <w:r w:rsidRPr="00E53F2F">
        <w:rPr>
          <w:rFonts w:ascii="Times New Roman" w:hAnsi="Times New Roman" w:cs="Times New Roman"/>
          <w:color w:val="00000A"/>
          <w:sz w:val="24"/>
          <w:szCs w:val="24"/>
          <w:lang w:eastAsia="cs-CZ"/>
        </w:rPr>
        <w:t>Nikdy nepodepisujte nic (smlouvu, plnou moc, přihlášku atp.), co jste si důkladně nepřečetli a úplně nepochopili. Pokud cokoliv nepochopíte, ptejte se. Teprve až všemu porozumíte, rozhodněte se, zda podepíšete.</w:t>
      </w:r>
    </w:p>
    <w:p w:rsidR="00CE5475" w:rsidRPr="00E53F2F" w:rsidRDefault="00CE5475" w:rsidP="00CE5475">
      <w:pPr>
        <w:pStyle w:val="Odstavecseseznamem"/>
        <w:widowControl/>
        <w:numPr>
          <w:ilvl w:val="0"/>
          <w:numId w:val="13"/>
        </w:numPr>
        <w:overflowPunct w:val="0"/>
        <w:spacing w:beforeAutospacing="1" w:afterAutospacing="1" w:line="240" w:lineRule="auto"/>
        <w:rPr>
          <w:rFonts w:ascii="Times New Roman" w:hAnsi="Times New Roman" w:cs="Times New Roman"/>
          <w:color w:val="00000A"/>
          <w:sz w:val="24"/>
          <w:szCs w:val="24"/>
          <w:lang w:eastAsia="cs-CZ"/>
        </w:rPr>
      </w:pPr>
      <w:r w:rsidRPr="00E53F2F">
        <w:rPr>
          <w:rFonts w:ascii="Times New Roman" w:hAnsi="Times New Roman" w:cs="Times New Roman"/>
          <w:color w:val="00000A"/>
          <w:sz w:val="24"/>
          <w:szCs w:val="24"/>
          <w:lang w:eastAsia="cs-CZ"/>
        </w:rPr>
        <w:t>Nebuďte pasivní! Případné spory s dodavatelem neodkládejte, řešte je hned zpočátku. Jestliže dodavatel nereaguje nebo vy s navrhovaným řešením nesouhlasíte, obraťte se na ERÚ. Jestliže jde o problém se zprostředkovatelem, pomoci může Česká obchodní inspekce (</w:t>
      </w:r>
      <w:hyperlink r:id="rId10" w:history="1">
        <w:r w:rsidRPr="00E53F2F">
          <w:rPr>
            <w:rStyle w:val="Hypertextovodkaz"/>
            <w:rFonts w:ascii="Times New Roman" w:hAnsi="Times New Roman" w:cs="Times New Roman"/>
            <w:sz w:val="24"/>
            <w:szCs w:val="24"/>
            <w:lang w:eastAsia="cs-CZ"/>
          </w:rPr>
          <w:t>http://www.coi.cz/</w:t>
        </w:r>
      </w:hyperlink>
      <w:r w:rsidRPr="00E53F2F">
        <w:rPr>
          <w:rFonts w:ascii="Times New Roman" w:hAnsi="Times New Roman" w:cs="Times New Roman"/>
          <w:color w:val="00000A"/>
          <w:sz w:val="24"/>
          <w:szCs w:val="24"/>
          <w:lang w:eastAsia="cs-CZ"/>
        </w:rPr>
        <w:t>). Pokud nevíte, s kým jste jednali, obraťte se na jeden z</w:t>
      </w:r>
      <w:r w:rsidR="00E53F2F">
        <w:rPr>
          <w:rFonts w:ascii="Times New Roman" w:hAnsi="Times New Roman" w:cs="Times New Roman"/>
          <w:color w:val="00000A"/>
          <w:sz w:val="24"/>
          <w:szCs w:val="24"/>
          <w:lang w:eastAsia="cs-CZ"/>
        </w:rPr>
        <w:t> </w:t>
      </w:r>
      <w:r w:rsidRPr="00E53F2F">
        <w:rPr>
          <w:rFonts w:ascii="Times New Roman" w:hAnsi="Times New Roman" w:cs="Times New Roman"/>
          <w:color w:val="00000A"/>
          <w:sz w:val="24"/>
          <w:szCs w:val="24"/>
          <w:lang w:eastAsia="cs-CZ"/>
        </w:rPr>
        <w:t>obou úřadů, podnět si předají.</w:t>
      </w:r>
    </w:p>
    <w:p w:rsidR="007D367D" w:rsidRPr="00E53F2F" w:rsidRDefault="00CE5475" w:rsidP="00CE5475">
      <w:pPr>
        <w:pStyle w:val="Odstavecseseznamem"/>
        <w:widowControl/>
        <w:numPr>
          <w:ilvl w:val="0"/>
          <w:numId w:val="13"/>
        </w:numPr>
        <w:overflowPunct w:val="0"/>
        <w:spacing w:beforeAutospacing="1" w:afterAutospacing="1" w:line="240" w:lineRule="auto"/>
        <w:rPr>
          <w:rFonts w:ascii="Times New Roman" w:hAnsi="Times New Roman" w:cs="Times New Roman"/>
          <w:color w:val="00000A"/>
          <w:sz w:val="24"/>
          <w:szCs w:val="24"/>
          <w:lang w:eastAsia="cs-CZ"/>
        </w:rPr>
      </w:pPr>
      <w:r w:rsidRPr="00E53F2F">
        <w:rPr>
          <w:rFonts w:ascii="Times New Roman" w:hAnsi="Times New Roman" w:cs="Times New Roman"/>
          <w:color w:val="00000A"/>
          <w:sz w:val="24"/>
          <w:szCs w:val="24"/>
          <w:lang w:eastAsia="cs-CZ"/>
        </w:rPr>
        <w:t>Pamatujte si, že od smlouvy o dodávkách energií, kterou jste uzavřeli mimo provozovnu držitele licence, můžete bez jakýchkoliv sankcí odstoupit do 14 dní od uzavření nebo ji vypovědět nejpozději 15. dne po zahájení dodávek.</w:t>
      </w:r>
    </w:p>
    <w:p w:rsidR="00CE5475" w:rsidRPr="00E53F2F" w:rsidRDefault="00E53F2F" w:rsidP="00CE5475">
      <w:pPr>
        <w:widowControl/>
        <w:overflowPunct w:val="0"/>
        <w:spacing w:before="100" w:beforeAutospacing="1" w:after="100" w:afterAutospacing="1" w:line="240" w:lineRule="auto"/>
        <w:ind w:firstLine="0"/>
        <w:rPr>
          <w:rFonts w:ascii="Times New Roman" w:hAnsi="Times New Roman" w:cs="Times New Roman"/>
          <w:b/>
          <w:color w:val="00000A"/>
          <w:sz w:val="24"/>
          <w:szCs w:val="24"/>
          <w:u w:val="single"/>
          <w:lang w:eastAsia="cs-CZ"/>
        </w:rPr>
      </w:pPr>
      <w:bookmarkStart w:id="5" w:name="Stanovisko_NS_CR"/>
      <w:r>
        <w:rPr>
          <w:rFonts w:ascii="Times New Roman" w:hAnsi="Times New Roman" w:cs="Times New Roman"/>
          <w:b/>
          <w:color w:val="00000A"/>
          <w:sz w:val="24"/>
          <w:szCs w:val="24"/>
          <w:u w:val="single"/>
          <w:lang w:eastAsia="cs-CZ"/>
        </w:rPr>
        <w:t xml:space="preserve">Stanovisko </w:t>
      </w:r>
      <w:r w:rsidR="000E2700" w:rsidRPr="000E2700">
        <w:rPr>
          <w:rFonts w:ascii="Times New Roman" w:hAnsi="Times New Roman" w:cs="Times New Roman"/>
          <w:b/>
          <w:color w:val="00000A"/>
          <w:sz w:val="24"/>
          <w:szCs w:val="24"/>
          <w:u w:val="single"/>
          <w:lang w:eastAsia="cs-CZ"/>
        </w:rPr>
        <w:t>Nejvyššího soudu</w:t>
      </w:r>
      <w:r>
        <w:rPr>
          <w:rFonts w:ascii="Times New Roman" w:hAnsi="Times New Roman" w:cs="Times New Roman"/>
          <w:b/>
          <w:color w:val="00000A"/>
          <w:sz w:val="24"/>
          <w:szCs w:val="24"/>
          <w:u w:val="single"/>
          <w:lang w:eastAsia="cs-CZ"/>
        </w:rPr>
        <w:t xml:space="preserve"> ČR</w:t>
      </w:r>
    </w:p>
    <w:bookmarkEnd w:id="5"/>
    <w:p w:rsidR="00CE5475" w:rsidRPr="00E53F2F" w:rsidRDefault="00CE5475" w:rsidP="00CE5475">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E53F2F">
        <w:rPr>
          <w:rFonts w:ascii="Times New Roman" w:hAnsi="Times New Roman" w:cs="Times New Roman"/>
          <w:color w:val="00000A"/>
          <w:sz w:val="24"/>
          <w:szCs w:val="24"/>
          <w:lang w:eastAsia="cs-CZ"/>
        </w:rPr>
        <w:t>Závěrem upozorňujeme ještě na stanovisko Nejvyššího so</w:t>
      </w:r>
      <w:r w:rsidR="00E53F2F" w:rsidRPr="00E53F2F">
        <w:rPr>
          <w:rFonts w:ascii="Times New Roman" w:hAnsi="Times New Roman" w:cs="Times New Roman"/>
          <w:color w:val="00000A"/>
          <w:sz w:val="24"/>
          <w:szCs w:val="24"/>
          <w:lang w:eastAsia="cs-CZ"/>
        </w:rPr>
        <w:t>udu ČR Cpjn 200/2013 ze dne 11. </w:t>
      </w:r>
      <w:r w:rsidRPr="00E53F2F">
        <w:rPr>
          <w:rFonts w:ascii="Times New Roman" w:hAnsi="Times New Roman" w:cs="Times New Roman"/>
          <w:color w:val="00000A"/>
          <w:sz w:val="24"/>
          <w:szCs w:val="24"/>
          <w:lang w:eastAsia="cs-CZ"/>
        </w:rPr>
        <w:t>12.</w:t>
      </w:r>
      <w:r w:rsidR="00E53F2F" w:rsidRPr="00E53F2F">
        <w:rPr>
          <w:rFonts w:ascii="Times New Roman" w:hAnsi="Times New Roman" w:cs="Times New Roman"/>
          <w:color w:val="00000A"/>
          <w:sz w:val="24"/>
          <w:szCs w:val="24"/>
          <w:lang w:eastAsia="cs-CZ"/>
        </w:rPr>
        <w:t> </w:t>
      </w:r>
      <w:r w:rsidRPr="00E53F2F">
        <w:rPr>
          <w:rFonts w:ascii="Times New Roman" w:hAnsi="Times New Roman" w:cs="Times New Roman"/>
          <w:color w:val="00000A"/>
          <w:sz w:val="24"/>
          <w:szCs w:val="24"/>
          <w:lang w:eastAsia="cs-CZ"/>
        </w:rPr>
        <w:t>2013, týkajícího se spotřebitelských smluv, podle kterého je „ujednání o smluvní pokutě vedlejším ujednáním, které</w:t>
      </w:r>
      <w:r w:rsidR="00E53F2F">
        <w:rPr>
          <w:rFonts w:ascii="Times New Roman" w:hAnsi="Times New Roman" w:cs="Times New Roman"/>
          <w:color w:val="00000A"/>
          <w:sz w:val="24"/>
          <w:szCs w:val="24"/>
          <w:lang w:eastAsia="cs-CZ"/>
        </w:rPr>
        <w:t xml:space="preserve"> není typickou součástí smlouvy</w:t>
      </w:r>
      <w:r w:rsidRPr="00E53F2F">
        <w:rPr>
          <w:rFonts w:ascii="Times New Roman" w:hAnsi="Times New Roman" w:cs="Times New Roman"/>
          <w:color w:val="00000A"/>
          <w:sz w:val="24"/>
          <w:szCs w:val="24"/>
          <w:lang w:eastAsia="cs-CZ"/>
        </w:rPr>
        <w:t>… Za situace, kdy stíhá povinnost hradit smluvní pokutu v případě porušení smluvních povinností výlučně spotřebitele, nikoli poskytovatele služby, lze uzavřít, že jde o ujednání představující, i</w:t>
      </w:r>
      <w:r w:rsidR="00E53F2F">
        <w:rPr>
          <w:rFonts w:ascii="Times New Roman" w:hAnsi="Times New Roman" w:cs="Times New Roman"/>
          <w:color w:val="00000A"/>
          <w:sz w:val="24"/>
          <w:szCs w:val="24"/>
          <w:lang w:eastAsia="cs-CZ"/>
        </w:rPr>
        <w:t> </w:t>
      </w:r>
      <w:r w:rsidRPr="00E53F2F">
        <w:rPr>
          <w:rFonts w:ascii="Times New Roman" w:hAnsi="Times New Roman" w:cs="Times New Roman"/>
          <w:color w:val="00000A"/>
          <w:sz w:val="24"/>
          <w:szCs w:val="24"/>
          <w:lang w:eastAsia="cs-CZ"/>
        </w:rPr>
        <w:t>vzhledem k poměru výše smluvní pokuty k výši (významu) jí zajištěné povinnosti, významnou nerovnováhu v právech a povinnostech stran, a to k újmě spotřebitele. Poskytovatel přitom nemohl rozumně očekávat, že by spotřebitel s daným ujednáním souhlasil v případě individuálního sjednání smlouvy. Ujednání o smluvní pokutě je proto neplatné podle § 55 odst. 2 obč. zák.“</w:t>
      </w:r>
    </w:p>
    <w:p w:rsidR="00E557E9" w:rsidRPr="00E53F2F" w:rsidRDefault="00E54BBA" w:rsidP="00E53F2F">
      <w:pPr>
        <w:widowControl/>
        <w:tabs>
          <w:tab w:val="right" w:pos="9072"/>
        </w:tabs>
        <w:overflowPunct w:val="0"/>
        <w:spacing w:before="840" w:after="100" w:afterAutospacing="1" w:line="240" w:lineRule="auto"/>
        <w:ind w:firstLine="0"/>
        <w:rPr>
          <w:rFonts w:ascii="Times New Roman" w:hAnsi="Times New Roman" w:cs="Times New Roman"/>
        </w:rPr>
      </w:pPr>
      <w:r w:rsidRPr="00E53F2F">
        <w:rPr>
          <w:rFonts w:ascii="Times New Roman" w:hAnsi="Times New Roman" w:cs="Times New Roman"/>
          <w:color w:val="00000A"/>
          <w:sz w:val="24"/>
          <w:szCs w:val="24"/>
          <w:lang w:eastAsia="cs-CZ"/>
        </w:rPr>
        <w:t>Za Sociálně právní poradnu SONS v</w:t>
      </w:r>
      <w:r w:rsidR="000153BD" w:rsidRPr="00E53F2F">
        <w:rPr>
          <w:rFonts w:ascii="Times New Roman" w:hAnsi="Times New Roman" w:cs="Times New Roman"/>
          <w:color w:val="00000A"/>
          <w:sz w:val="24"/>
          <w:szCs w:val="24"/>
          <w:lang w:eastAsia="cs-CZ"/>
        </w:rPr>
        <w:t> </w:t>
      </w:r>
      <w:r w:rsidRPr="00E53F2F">
        <w:rPr>
          <w:rFonts w:ascii="Times New Roman" w:hAnsi="Times New Roman" w:cs="Times New Roman"/>
          <w:color w:val="00000A"/>
          <w:sz w:val="24"/>
          <w:szCs w:val="24"/>
          <w:lang w:eastAsia="cs-CZ"/>
        </w:rPr>
        <w:t>Praze</w:t>
      </w:r>
      <w:r w:rsidR="000153BD" w:rsidRPr="00E53F2F">
        <w:rPr>
          <w:rFonts w:ascii="Times New Roman" w:hAnsi="Times New Roman" w:cs="Times New Roman"/>
          <w:color w:val="00000A"/>
          <w:sz w:val="24"/>
          <w:szCs w:val="24"/>
          <w:lang w:eastAsia="cs-CZ"/>
        </w:rPr>
        <w:tab/>
      </w:r>
      <w:r w:rsidR="00CE5475" w:rsidRPr="00E53F2F">
        <w:rPr>
          <w:rFonts w:ascii="Times New Roman" w:hAnsi="Times New Roman" w:cs="Times New Roman"/>
          <w:b/>
          <w:i/>
          <w:color w:val="00000A"/>
          <w:sz w:val="24"/>
          <w:szCs w:val="24"/>
          <w:lang w:eastAsia="cs-CZ"/>
        </w:rPr>
        <w:t xml:space="preserve">Luboš </w:t>
      </w:r>
      <w:bookmarkStart w:id="6" w:name="_GoBack"/>
      <w:bookmarkEnd w:id="6"/>
      <w:r w:rsidR="00CE5475" w:rsidRPr="00E53F2F">
        <w:rPr>
          <w:rFonts w:ascii="Times New Roman" w:hAnsi="Times New Roman" w:cs="Times New Roman"/>
          <w:b/>
          <w:i/>
          <w:color w:val="00000A"/>
          <w:sz w:val="24"/>
          <w:szCs w:val="24"/>
          <w:lang w:eastAsia="cs-CZ"/>
        </w:rPr>
        <w:t>Zajíc a Václava Baudišová</w:t>
      </w:r>
    </w:p>
    <w:sectPr w:rsidR="00E557E9" w:rsidRPr="00E53F2F">
      <w:pgSz w:w="11906" w:h="16838"/>
      <w:pgMar w:top="1417" w:right="1417" w:bottom="1417" w:left="1417" w:header="0" w:footer="0" w:gutter="0"/>
      <w:cols w:space="708"/>
      <w:formProt w:val="0"/>
      <w:docGrid w:linePitch="360" w:charSpace="-18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beration Sans">
    <w:altName w:val="Arial"/>
    <w:panose1 w:val="020B0604020202020204"/>
    <w:charset w:val="EE"/>
    <w:family w:val="swiss"/>
    <w:pitch w:val="variable"/>
    <w:sig w:usb0="A00002AF" w:usb1="500078FB" w:usb2="00000000" w:usb3="00000000" w:csb0="0000009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078EFF" w:usb1="4200FDFF" w:usb2="000030A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1D6"/>
    <w:multiLevelType w:val="multilevel"/>
    <w:tmpl w:val="DDEAF722"/>
    <w:lvl w:ilvl="0">
      <w:start w:val="1"/>
      <w:numFmt w:val="bullet"/>
      <w:lvlText w:val=""/>
      <w:lvlJc w:val="left"/>
      <w:pPr>
        <w:tabs>
          <w:tab w:val="num" w:pos="962"/>
        </w:tabs>
        <w:ind w:left="962" w:hanging="360"/>
      </w:pPr>
      <w:rPr>
        <w:rFonts w:ascii="Symbol" w:hAnsi="Symbol" w:cs="OpenSymbol" w:hint="default"/>
      </w:rPr>
    </w:lvl>
    <w:lvl w:ilvl="1">
      <w:start w:val="1"/>
      <w:numFmt w:val="bullet"/>
      <w:lvlText w:val="◦"/>
      <w:lvlJc w:val="left"/>
      <w:pPr>
        <w:tabs>
          <w:tab w:val="num" w:pos="1322"/>
        </w:tabs>
        <w:ind w:left="1322" w:hanging="360"/>
      </w:pPr>
      <w:rPr>
        <w:rFonts w:ascii="OpenSymbol" w:hAnsi="OpenSymbol" w:cs="OpenSymbol" w:hint="default"/>
      </w:rPr>
    </w:lvl>
    <w:lvl w:ilvl="2">
      <w:start w:val="1"/>
      <w:numFmt w:val="bullet"/>
      <w:lvlText w:val="▪"/>
      <w:lvlJc w:val="left"/>
      <w:pPr>
        <w:tabs>
          <w:tab w:val="num" w:pos="1682"/>
        </w:tabs>
        <w:ind w:left="1682" w:hanging="360"/>
      </w:pPr>
      <w:rPr>
        <w:rFonts w:ascii="OpenSymbol" w:hAnsi="OpenSymbol" w:cs="OpenSymbol" w:hint="default"/>
      </w:rPr>
    </w:lvl>
    <w:lvl w:ilvl="3">
      <w:start w:val="1"/>
      <w:numFmt w:val="bullet"/>
      <w:lvlText w:val=""/>
      <w:lvlJc w:val="left"/>
      <w:pPr>
        <w:tabs>
          <w:tab w:val="num" w:pos="2042"/>
        </w:tabs>
        <w:ind w:left="2042" w:hanging="360"/>
      </w:pPr>
      <w:rPr>
        <w:rFonts w:ascii="Symbol" w:hAnsi="Symbol" w:cs="OpenSymbol" w:hint="default"/>
      </w:rPr>
    </w:lvl>
    <w:lvl w:ilvl="4">
      <w:start w:val="1"/>
      <w:numFmt w:val="bullet"/>
      <w:lvlText w:val="◦"/>
      <w:lvlJc w:val="left"/>
      <w:pPr>
        <w:tabs>
          <w:tab w:val="num" w:pos="2402"/>
        </w:tabs>
        <w:ind w:left="2402" w:hanging="360"/>
      </w:pPr>
      <w:rPr>
        <w:rFonts w:ascii="OpenSymbol" w:hAnsi="OpenSymbol" w:cs="OpenSymbol" w:hint="default"/>
      </w:rPr>
    </w:lvl>
    <w:lvl w:ilvl="5">
      <w:start w:val="1"/>
      <w:numFmt w:val="bullet"/>
      <w:lvlText w:val="▪"/>
      <w:lvlJc w:val="left"/>
      <w:pPr>
        <w:tabs>
          <w:tab w:val="num" w:pos="2762"/>
        </w:tabs>
        <w:ind w:left="2762" w:hanging="360"/>
      </w:pPr>
      <w:rPr>
        <w:rFonts w:ascii="OpenSymbol" w:hAnsi="OpenSymbol" w:cs="OpenSymbol" w:hint="default"/>
      </w:rPr>
    </w:lvl>
    <w:lvl w:ilvl="6">
      <w:start w:val="1"/>
      <w:numFmt w:val="bullet"/>
      <w:lvlText w:val=""/>
      <w:lvlJc w:val="left"/>
      <w:pPr>
        <w:tabs>
          <w:tab w:val="num" w:pos="3122"/>
        </w:tabs>
        <w:ind w:left="3122" w:hanging="360"/>
      </w:pPr>
      <w:rPr>
        <w:rFonts w:ascii="Symbol" w:hAnsi="Symbol" w:cs="OpenSymbol" w:hint="default"/>
      </w:rPr>
    </w:lvl>
    <w:lvl w:ilvl="7">
      <w:start w:val="1"/>
      <w:numFmt w:val="bullet"/>
      <w:lvlText w:val="◦"/>
      <w:lvlJc w:val="left"/>
      <w:pPr>
        <w:tabs>
          <w:tab w:val="num" w:pos="3482"/>
        </w:tabs>
        <w:ind w:left="3482" w:hanging="360"/>
      </w:pPr>
      <w:rPr>
        <w:rFonts w:ascii="OpenSymbol" w:hAnsi="OpenSymbol" w:cs="OpenSymbol" w:hint="default"/>
      </w:rPr>
    </w:lvl>
    <w:lvl w:ilvl="8">
      <w:start w:val="1"/>
      <w:numFmt w:val="bullet"/>
      <w:lvlText w:val="▪"/>
      <w:lvlJc w:val="left"/>
      <w:pPr>
        <w:tabs>
          <w:tab w:val="num" w:pos="3842"/>
        </w:tabs>
        <w:ind w:left="3842" w:hanging="360"/>
      </w:pPr>
      <w:rPr>
        <w:rFonts w:ascii="OpenSymbol" w:hAnsi="OpenSymbol" w:cs="OpenSymbol" w:hint="default"/>
      </w:rPr>
    </w:lvl>
  </w:abstractNum>
  <w:abstractNum w:abstractNumId="1">
    <w:nsid w:val="11354804"/>
    <w:multiLevelType w:val="hybridMultilevel"/>
    <w:tmpl w:val="245894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993B97"/>
    <w:multiLevelType w:val="hybridMultilevel"/>
    <w:tmpl w:val="BBF89DC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D085121"/>
    <w:multiLevelType w:val="multilevel"/>
    <w:tmpl w:val="5F2CB948"/>
    <w:lvl w:ilvl="0">
      <w:start w:val="1"/>
      <w:numFmt w:val="bullet"/>
      <w:lvlText w:val=""/>
      <w:lvlJc w:val="left"/>
      <w:pPr>
        <w:tabs>
          <w:tab w:val="num" w:pos="1015"/>
        </w:tabs>
        <w:ind w:left="1015" w:hanging="360"/>
      </w:pPr>
      <w:rPr>
        <w:rFonts w:ascii="Symbol" w:hAnsi="Symbol" w:cs="OpenSymbol" w:hint="default"/>
      </w:rPr>
    </w:lvl>
    <w:lvl w:ilvl="1">
      <w:start w:val="1"/>
      <w:numFmt w:val="bullet"/>
      <w:lvlText w:val="◦"/>
      <w:lvlJc w:val="left"/>
      <w:pPr>
        <w:tabs>
          <w:tab w:val="num" w:pos="1375"/>
        </w:tabs>
        <w:ind w:left="1375" w:hanging="360"/>
      </w:pPr>
      <w:rPr>
        <w:rFonts w:ascii="OpenSymbol" w:hAnsi="OpenSymbol" w:cs="OpenSymbol" w:hint="default"/>
      </w:rPr>
    </w:lvl>
    <w:lvl w:ilvl="2">
      <w:start w:val="1"/>
      <w:numFmt w:val="bullet"/>
      <w:lvlText w:val="▪"/>
      <w:lvlJc w:val="left"/>
      <w:pPr>
        <w:tabs>
          <w:tab w:val="num" w:pos="1735"/>
        </w:tabs>
        <w:ind w:left="1735" w:hanging="360"/>
      </w:pPr>
      <w:rPr>
        <w:rFonts w:ascii="OpenSymbol" w:hAnsi="OpenSymbol" w:cs="OpenSymbol" w:hint="default"/>
      </w:rPr>
    </w:lvl>
    <w:lvl w:ilvl="3">
      <w:start w:val="1"/>
      <w:numFmt w:val="bullet"/>
      <w:lvlText w:val=""/>
      <w:lvlJc w:val="left"/>
      <w:pPr>
        <w:tabs>
          <w:tab w:val="num" w:pos="2095"/>
        </w:tabs>
        <w:ind w:left="2095" w:hanging="360"/>
      </w:pPr>
      <w:rPr>
        <w:rFonts w:ascii="Symbol" w:hAnsi="Symbol" w:cs="OpenSymbol" w:hint="default"/>
      </w:rPr>
    </w:lvl>
    <w:lvl w:ilvl="4">
      <w:start w:val="1"/>
      <w:numFmt w:val="bullet"/>
      <w:lvlText w:val="◦"/>
      <w:lvlJc w:val="left"/>
      <w:pPr>
        <w:tabs>
          <w:tab w:val="num" w:pos="2455"/>
        </w:tabs>
        <w:ind w:left="2455" w:hanging="360"/>
      </w:pPr>
      <w:rPr>
        <w:rFonts w:ascii="OpenSymbol" w:hAnsi="OpenSymbol" w:cs="OpenSymbol" w:hint="default"/>
      </w:rPr>
    </w:lvl>
    <w:lvl w:ilvl="5">
      <w:start w:val="1"/>
      <w:numFmt w:val="bullet"/>
      <w:lvlText w:val="▪"/>
      <w:lvlJc w:val="left"/>
      <w:pPr>
        <w:tabs>
          <w:tab w:val="num" w:pos="2815"/>
        </w:tabs>
        <w:ind w:left="2815" w:hanging="360"/>
      </w:pPr>
      <w:rPr>
        <w:rFonts w:ascii="OpenSymbol" w:hAnsi="OpenSymbol" w:cs="OpenSymbol" w:hint="default"/>
      </w:rPr>
    </w:lvl>
    <w:lvl w:ilvl="6">
      <w:start w:val="1"/>
      <w:numFmt w:val="bullet"/>
      <w:lvlText w:val=""/>
      <w:lvlJc w:val="left"/>
      <w:pPr>
        <w:tabs>
          <w:tab w:val="num" w:pos="3175"/>
        </w:tabs>
        <w:ind w:left="3175" w:hanging="360"/>
      </w:pPr>
      <w:rPr>
        <w:rFonts w:ascii="Symbol" w:hAnsi="Symbol" w:cs="OpenSymbol" w:hint="default"/>
      </w:rPr>
    </w:lvl>
    <w:lvl w:ilvl="7">
      <w:start w:val="1"/>
      <w:numFmt w:val="bullet"/>
      <w:lvlText w:val="◦"/>
      <w:lvlJc w:val="left"/>
      <w:pPr>
        <w:tabs>
          <w:tab w:val="num" w:pos="3535"/>
        </w:tabs>
        <w:ind w:left="3535" w:hanging="360"/>
      </w:pPr>
      <w:rPr>
        <w:rFonts w:ascii="OpenSymbol" w:hAnsi="OpenSymbol" w:cs="OpenSymbol" w:hint="default"/>
      </w:rPr>
    </w:lvl>
    <w:lvl w:ilvl="8">
      <w:start w:val="1"/>
      <w:numFmt w:val="bullet"/>
      <w:lvlText w:val="▪"/>
      <w:lvlJc w:val="left"/>
      <w:pPr>
        <w:tabs>
          <w:tab w:val="num" w:pos="3895"/>
        </w:tabs>
        <w:ind w:left="3895" w:hanging="360"/>
      </w:pPr>
      <w:rPr>
        <w:rFonts w:ascii="OpenSymbol" w:hAnsi="OpenSymbol" w:cs="OpenSymbol" w:hint="default"/>
      </w:rPr>
    </w:lvl>
  </w:abstractNum>
  <w:abstractNum w:abstractNumId="4">
    <w:nsid w:val="2E425CC9"/>
    <w:multiLevelType w:val="hybridMultilevel"/>
    <w:tmpl w:val="AA52B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E896EB5"/>
    <w:multiLevelType w:val="hybridMultilevel"/>
    <w:tmpl w:val="E07A5BA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ED55147"/>
    <w:multiLevelType w:val="hybridMultilevel"/>
    <w:tmpl w:val="A490B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1844CE1"/>
    <w:multiLevelType w:val="hybridMultilevel"/>
    <w:tmpl w:val="3834B0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42B1D4B"/>
    <w:multiLevelType w:val="multilevel"/>
    <w:tmpl w:val="08E6CE2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3E8E0961"/>
    <w:multiLevelType w:val="hybridMultilevel"/>
    <w:tmpl w:val="1FE86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F125BB1"/>
    <w:multiLevelType w:val="multilevel"/>
    <w:tmpl w:val="BFB2AC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5E397754"/>
    <w:multiLevelType w:val="hybridMultilevel"/>
    <w:tmpl w:val="47DAC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7636D49"/>
    <w:multiLevelType w:val="hybridMultilevel"/>
    <w:tmpl w:val="A42E2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E4D21EF"/>
    <w:multiLevelType w:val="hybridMultilevel"/>
    <w:tmpl w:val="0D9682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0"/>
  </w:num>
  <w:num w:numId="5">
    <w:abstractNumId w:val="11"/>
  </w:num>
  <w:num w:numId="6">
    <w:abstractNumId w:val="2"/>
  </w:num>
  <w:num w:numId="7">
    <w:abstractNumId w:val="7"/>
  </w:num>
  <w:num w:numId="8">
    <w:abstractNumId w:val="13"/>
  </w:num>
  <w:num w:numId="9">
    <w:abstractNumId w:val="9"/>
  </w:num>
  <w:num w:numId="10">
    <w:abstractNumId w:val="4"/>
  </w:num>
  <w:num w:numId="11">
    <w:abstractNumId w:val="6"/>
  </w:num>
  <w:num w:numId="12">
    <w:abstractNumId w:val="5"/>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E9"/>
    <w:rsid w:val="000077CB"/>
    <w:rsid w:val="000153BD"/>
    <w:rsid w:val="000E2700"/>
    <w:rsid w:val="0012602C"/>
    <w:rsid w:val="001B3C11"/>
    <w:rsid w:val="0028284A"/>
    <w:rsid w:val="00373FF0"/>
    <w:rsid w:val="003F23F2"/>
    <w:rsid w:val="00457DF9"/>
    <w:rsid w:val="0048651A"/>
    <w:rsid w:val="004D1C77"/>
    <w:rsid w:val="004D74FA"/>
    <w:rsid w:val="00520303"/>
    <w:rsid w:val="005546C1"/>
    <w:rsid w:val="00623CF4"/>
    <w:rsid w:val="0069006D"/>
    <w:rsid w:val="006C0F0E"/>
    <w:rsid w:val="006C385A"/>
    <w:rsid w:val="006E5F7C"/>
    <w:rsid w:val="0071291E"/>
    <w:rsid w:val="0072554B"/>
    <w:rsid w:val="00753FF9"/>
    <w:rsid w:val="00754FE6"/>
    <w:rsid w:val="00791A90"/>
    <w:rsid w:val="007949F0"/>
    <w:rsid w:val="007D367D"/>
    <w:rsid w:val="00805E2D"/>
    <w:rsid w:val="00865F2A"/>
    <w:rsid w:val="00883957"/>
    <w:rsid w:val="008B0567"/>
    <w:rsid w:val="0094210C"/>
    <w:rsid w:val="00960C57"/>
    <w:rsid w:val="009F0739"/>
    <w:rsid w:val="00AC5736"/>
    <w:rsid w:val="00BD6FB6"/>
    <w:rsid w:val="00C27805"/>
    <w:rsid w:val="00CB5127"/>
    <w:rsid w:val="00CC21B3"/>
    <w:rsid w:val="00CE5475"/>
    <w:rsid w:val="00D40C12"/>
    <w:rsid w:val="00E06244"/>
    <w:rsid w:val="00E25085"/>
    <w:rsid w:val="00E3673B"/>
    <w:rsid w:val="00E53F2F"/>
    <w:rsid w:val="00E54BBA"/>
    <w:rsid w:val="00E557E9"/>
    <w:rsid w:val="00EF50C9"/>
    <w:rsid w:val="00F076C8"/>
    <w:rsid w:val="00FC244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55123">
      <w:bodyDiv w:val="1"/>
      <w:marLeft w:val="0"/>
      <w:marRight w:val="0"/>
      <w:marTop w:val="0"/>
      <w:marBottom w:val="0"/>
      <w:divBdr>
        <w:top w:val="none" w:sz="0" w:space="0" w:color="auto"/>
        <w:left w:val="none" w:sz="0" w:space="0" w:color="auto"/>
        <w:bottom w:val="none" w:sz="0" w:space="0" w:color="auto"/>
        <w:right w:val="none" w:sz="0" w:space="0" w:color="auto"/>
      </w:divBdr>
    </w:div>
    <w:div w:id="1597441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kalkulator.eru.cz/" TargetMode="External"/><Relationship Id="rId3" Type="http://schemas.openxmlformats.org/officeDocument/2006/relationships/styles" Target="styles.xml"/><Relationship Id="rId7" Type="http://schemas.openxmlformats.org/officeDocument/2006/relationships/hyperlink" Target="http://www.zakonyprolidi.c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i.cz/" TargetMode="External"/><Relationship Id="rId4" Type="http://schemas.microsoft.com/office/2007/relationships/stylesWithEffects" Target="stylesWithEffects.xml"/><Relationship Id="rId9" Type="http://schemas.openxmlformats.org/officeDocument/2006/relationships/hyperlink" Target="http://www.uoou.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1EBAC-34E1-4E0E-9EC9-12DDF6CB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1691</Words>
  <Characters>9983</Characters>
  <Application>Microsoft Office Word</Application>
  <DocSecurity>0</DocSecurity>
  <Lines>83</Lines>
  <Paragraphs>23</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Informace a odpovědi na dotazy ze Sociálně právní poradny SONS v Praze 06/2019</vt:lpstr>
      <vt:lpstr>    Jak je to s příspěvky pojišťoven na optické pomůcky od 1. srpna 2019? </vt:lpstr>
      <vt:lpstr>    Ne každá změna dodavatele energií je výhodná pro spotřebitele </vt:lpstr>
    </vt:vector>
  </TitlesOfParts>
  <Company>Hewlett-Packard Company</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6</cp:revision>
  <dcterms:created xsi:type="dcterms:W3CDTF">2019-06-14T06:54:00Z</dcterms:created>
  <dcterms:modified xsi:type="dcterms:W3CDTF">2019-06-14T08:43:00Z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