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5546C1" w:rsidRPr="00E53F2F">
        <w:rPr>
          <w:rFonts w:ascii="Times New Roman" w:hAnsi="Times New Roman" w:cs="Times New Roman"/>
          <w:b/>
          <w:bCs/>
          <w:color w:val="00000A"/>
          <w:sz w:val="48"/>
          <w:szCs w:val="48"/>
          <w:lang w:eastAsia="cs-CZ"/>
        </w:rPr>
        <w:t>0</w:t>
      </w:r>
      <w:r w:rsidR="00815E6A">
        <w:rPr>
          <w:rFonts w:ascii="Times New Roman" w:hAnsi="Times New Roman" w:cs="Times New Roman"/>
          <w:b/>
          <w:bCs/>
          <w:color w:val="00000A"/>
          <w:sz w:val="48"/>
          <w:szCs w:val="48"/>
          <w:lang w:eastAsia="cs-CZ"/>
        </w:rPr>
        <w:t>8</w:t>
      </w:r>
      <w:r w:rsidR="005546C1" w:rsidRPr="00E53F2F">
        <w:rPr>
          <w:rFonts w:ascii="Times New Roman" w:hAnsi="Times New Roman" w:cs="Times New Roman"/>
          <w:b/>
          <w:bCs/>
          <w:color w:val="00000A"/>
          <w:sz w:val="48"/>
          <w:szCs w:val="48"/>
          <w:lang w:eastAsia="cs-CZ"/>
        </w:rPr>
        <w:t>/2019</w:t>
      </w:r>
    </w:p>
    <w:p w:rsidR="00E54BBA" w:rsidRPr="00E53F2F" w:rsidRDefault="00815E6A" w:rsidP="0071291E">
      <w:pPr>
        <w:widowControl/>
        <w:overflowPunct w:val="0"/>
        <w:spacing w:before="100" w:beforeAutospacing="1" w:after="100" w:afterAutospacing="1" w:line="240" w:lineRule="auto"/>
        <w:ind w:firstLine="0"/>
        <w:rPr>
          <w:rFonts w:ascii="Times New Roman" w:hAnsi="Times New Roman" w:cs="Times New Roman"/>
          <w:sz w:val="24"/>
          <w:szCs w:val="24"/>
        </w:rPr>
      </w:pPr>
      <w:r w:rsidRPr="00815E6A">
        <w:rPr>
          <w:rFonts w:ascii="Times New Roman" w:hAnsi="Times New Roman" w:cs="Times New Roman"/>
          <w:color w:val="00000A"/>
          <w:sz w:val="24"/>
          <w:szCs w:val="24"/>
          <w:lang w:eastAsia="cs-CZ"/>
        </w:rPr>
        <w:t>V článku psaném v době, kdy jsou letní prázdniny ještě mladé, přineseme:</w:t>
      </w:r>
    </w:p>
    <w:p w:rsidR="00815E6A" w:rsidRDefault="009C045C" w:rsidP="00815E6A">
      <w:pPr>
        <w:widowControl/>
        <w:numPr>
          <w:ilvl w:val="0"/>
          <w:numId w:val="1"/>
        </w:numPr>
        <w:overflowPunct w:val="0"/>
        <w:spacing w:beforeAutospacing="1" w:afterAutospacing="1" w:line="240" w:lineRule="auto"/>
        <w:rPr>
          <w:rFonts w:ascii="Times New Roman" w:hAnsi="Times New Roman" w:cs="Times New Roman"/>
          <w:sz w:val="24"/>
          <w:szCs w:val="24"/>
        </w:rPr>
      </w:pPr>
      <w:hyperlink w:anchor="Konec_karencni_doby" w:history="1">
        <w:r w:rsidR="00815E6A" w:rsidRPr="009C045C">
          <w:rPr>
            <w:rStyle w:val="Hypertextovodkaz"/>
            <w:rFonts w:ascii="Times New Roman" w:hAnsi="Times New Roman" w:cs="Times New Roman"/>
            <w:sz w:val="24"/>
            <w:szCs w:val="24"/>
          </w:rPr>
          <w:t>informaci o zrušení karenční doby a výši náhrady mzdy při dočasné pracovní neschopnosti</w:t>
        </w:r>
      </w:hyperlink>
      <w:r w:rsidR="00815E6A" w:rsidRPr="00815E6A">
        <w:rPr>
          <w:rFonts w:ascii="Times New Roman" w:hAnsi="Times New Roman" w:cs="Times New Roman"/>
          <w:sz w:val="24"/>
          <w:szCs w:val="24"/>
        </w:rPr>
        <w:t xml:space="preserve"> a</w:t>
      </w:r>
    </w:p>
    <w:p w:rsidR="00815E6A" w:rsidRPr="00815E6A" w:rsidRDefault="00815E6A" w:rsidP="00815E6A">
      <w:pPr>
        <w:widowControl/>
        <w:numPr>
          <w:ilvl w:val="0"/>
          <w:numId w:val="1"/>
        </w:numPr>
        <w:overflowPunct w:val="0"/>
        <w:spacing w:beforeAutospacing="1" w:afterAutospacing="1" w:line="240" w:lineRule="auto"/>
        <w:rPr>
          <w:rFonts w:ascii="Times New Roman" w:hAnsi="Times New Roman" w:cs="Times New Roman"/>
          <w:sz w:val="24"/>
          <w:szCs w:val="24"/>
        </w:rPr>
      </w:pPr>
      <w:r w:rsidRPr="00815E6A">
        <w:rPr>
          <w:rFonts w:ascii="Times New Roman" w:hAnsi="Times New Roman" w:cs="Times New Roman"/>
          <w:sz w:val="24"/>
          <w:szCs w:val="24"/>
        </w:rPr>
        <w:t xml:space="preserve">ocitujeme a stručně vyložíme ustanovení občanského zákoníku o </w:t>
      </w:r>
      <w:hyperlink w:anchor="Odpovednost_drzitele_vodiciho_psa" w:history="1">
        <w:r w:rsidRPr="009C045C">
          <w:rPr>
            <w:rStyle w:val="Hypertextovodkaz"/>
            <w:rFonts w:ascii="Times New Roman" w:hAnsi="Times New Roman" w:cs="Times New Roman"/>
            <w:sz w:val="24"/>
            <w:szCs w:val="24"/>
          </w:rPr>
          <w:t>odpovědnosti držitelů vodicích psů za škodu, kterou by jejich pomocníci způsobili</w:t>
        </w:r>
      </w:hyperlink>
      <w:r w:rsidRPr="00815E6A">
        <w:rPr>
          <w:rFonts w:ascii="Times New Roman" w:hAnsi="Times New Roman" w:cs="Times New Roman"/>
          <w:sz w:val="24"/>
          <w:szCs w:val="24"/>
        </w:rPr>
        <w:t>.</w:t>
      </w:r>
    </w:p>
    <w:p w:rsidR="00815E6A" w:rsidRPr="00E53F2F" w:rsidRDefault="00815E6A" w:rsidP="00F81F3F">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0" w:name="Konec_karencni_doby"/>
      <w:r w:rsidRPr="00815E6A">
        <w:rPr>
          <w:rFonts w:ascii="Times New Roman" w:hAnsi="Times New Roman" w:cs="Times New Roman"/>
          <w:b/>
          <w:bCs/>
          <w:color w:val="00000A"/>
          <w:sz w:val="36"/>
          <w:szCs w:val="36"/>
          <w:lang w:eastAsia="cs-CZ"/>
        </w:rPr>
        <w:t>Konec karenční doby</w:t>
      </w:r>
    </w:p>
    <w:bookmarkEnd w:id="0"/>
    <w:p w:rsidR="00815E6A" w:rsidRPr="00815E6A" w:rsidRDefault="00815E6A"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815E6A">
        <w:rPr>
          <w:rFonts w:ascii="Times New Roman" w:hAnsi="Times New Roman" w:cs="Times New Roman"/>
          <w:color w:val="00000A"/>
          <w:sz w:val="24"/>
          <w:szCs w:val="24"/>
          <w:lang w:eastAsia="cs-CZ"/>
        </w:rPr>
        <w:t>Téměř každý za</w:t>
      </w:r>
      <w:r>
        <w:rPr>
          <w:rFonts w:ascii="Times New Roman" w:hAnsi="Times New Roman" w:cs="Times New Roman"/>
          <w:color w:val="00000A"/>
          <w:sz w:val="24"/>
          <w:szCs w:val="24"/>
          <w:lang w:eastAsia="cs-CZ"/>
        </w:rPr>
        <w:t xml:space="preserve">znamenal zprávu o tom, že od </w:t>
      </w:r>
      <w:r w:rsidRPr="00A108BF">
        <w:rPr>
          <w:rFonts w:ascii="Times New Roman" w:hAnsi="Times New Roman" w:cs="Times New Roman"/>
          <w:b/>
          <w:color w:val="00000A"/>
          <w:sz w:val="24"/>
          <w:szCs w:val="24"/>
          <w:lang w:eastAsia="cs-CZ"/>
        </w:rPr>
        <w:t>1. července</w:t>
      </w:r>
      <w:r w:rsidRPr="00815E6A">
        <w:rPr>
          <w:rFonts w:ascii="Times New Roman" w:hAnsi="Times New Roman" w:cs="Times New Roman"/>
          <w:color w:val="00000A"/>
          <w:sz w:val="24"/>
          <w:szCs w:val="24"/>
          <w:lang w:eastAsia="cs-CZ"/>
        </w:rPr>
        <w:t xml:space="preserve"> tohoto roku byla </w:t>
      </w:r>
      <w:r w:rsidRPr="00A108BF">
        <w:rPr>
          <w:rFonts w:ascii="Times New Roman" w:hAnsi="Times New Roman" w:cs="Times New Roman"/>
          <w:b/>
          <w:color w:val="00000A"/>
          <w:sz w:val="24"/>
          <w:szCs w:val="24"/>
          <w:lang w:eastAsia="cs-CZ"/>
        </w:rPr>
        <w:t>zrušena tzv. karenční doba</w:t>
      </w:r>
      <w:r w:rsidRPr="00815E6A">
        <w:rPr>
          <w:rFonts w:ascii="Times New Roman" w:hAnsi="Times New Roman" w:cs="Times New Roman"/>
          <w:color w:val="00000A"/>
          <w:sz w:val="24"/>
          <w:szCs w:val="24"/>
          <w:lang w:eastAsia="cs-CZ"/>
        </w:rPr>
        <w:t>, tedy první tři dny dočasné pracovní neschopnosti, které nebyly zaměstnancům nijak kompenzovány. Z</w:t>
      </w:r>
      <w:r>
        <w:rPr>
          <w:rFonts w:ascii="Times New Roman" w:hAnsi="Times New Roman" w:cs="Times New Roman"/>
          <w:color w:val="00000A"/>
          <w:sz w:val="24"/>
          <w:szCs w:val="24"/>
          <w:lang w:eastAsia="cs-CZ"/>
        </w:rPr>
        <w:t>měnu přinesla novela č. 32/2019 </w:t>
      </w:r>
      <w:r w:rsidRPr="00815E6A">
        <w:rPr>
          <w:rFonts w:ascii="Times New Roman" w:hAnsi="Times New Roman" w:cs="Times New Roman"/>
          <w:color w:val="00000A"/>
          <w:sz w:val="24"/>
          <w:szCs w:val="24"/>
          <w:lang w:eastAsia="cs-CZ"/>
        </w:rPr>
        <w:t>Sb., která ve své první části odstranila v</w:t>
      </w:r>
      <w:bookmarkStart w:id="1" w:name="_GoBack"/>
      <w:bookmarkEnd w:id="1"/>
      <w:r w:rsidRPr="00815E6A">
        <w:rPr>
          <w:rFonts w:ascii="Times New Roman" w:hAnsi="Times New Roman" w:cs="Times New Roman"/>
          <w:color w:val="00000A"/>
          <w:sz w:val="24"/>
          <w:szCs w:val="24"/>
          <w:lang w:eastAsia="cs-CZ"/>
        </w:rPr>
        <w:t>ětu druh</w:t>
      </w:r>
      <w:r>
        <w:rPr>
          <w:rFonts w:ascii="Times New Roman" w:hAnsi="Times New Roman" w:cs="Times New Roman"/>
          <w:color w:val="00000A"/>
          <w:sz w:val="24"/>
          <w:szCs w:val="24"/>
          <w:lang w:eastAsia="cs-CZ"/>
        </w:rPr>
        <w:t>ou za středníkem z ustanovení § </w:t>
      </w:r>
      <w:r w:rsidRPr="00815E6A">
        <w:rPr>
          <w:rFonts w:ascii="Times New Roman" w:hAnsi="Times New Roman" w:cs="Times New Roman"/>
          <w:color w:val="00000A"/>
          <w:sz w:val="24"/>
          <w:szCs w:val="24"/>
          <w:lang w:eastAsia="cs-CZ"/>
        </w:rPr>
        <w:t>192 zákoníku práce, jež stanovila, že „náhrada mzdy nebo platu nepřísluší za první 3 takovéto dny dočasné pracovní neschopnosti, nejvýše však za prvních 24 neodpracovaných hodin z rozvržených směn.“</w:t>
      </w:r>
    </w:p>
    <w:p w:rsidR="00815E6A" w:rsidRPr="00815E6A" w:rsidRDefault="00815E6A"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815E6A">
        <w:rPr>
          <w:rFonts w:ascii="Times New Roman" w:hAnsi="Times New Roman" w:cs="Times New Roman"/>
          <w:color w:val="00000A"/>
          <w:sz w:val="24"/>
          <w:szCs w:val="24"/>
          <w:lang w:eastAsia="cs-CZ"/>
        </w:rPr>
        <w:t xml:space="preserve">V oněch prvních </w:t>
      </w:r>
      <w:r>
        <w:rPr>
          <w:rFonts w:ascii="Times New Roman" w:hAnsi="Times New Roman" w:cs="Times New Roman"/>
          <w:color w:val="00000A"/>
          <w:sz w:val="24"/>
          <w:szCs w:val="24"/>
          <w:lang w:eastAsia="cs-CZ"/>
        </w:rPr>
        <w:t>třech dnech, ale i po celých 14 </w:t>
      </w:r>
      <w:r w:rsidRPr="00815E6A">
        <w:rPr>
          <w:rFonts w:ascii="Times New Roman" w:hAnsi="Times New Roman" w:cs="Times New Roman"/>
          <w:color w:val="00000A"/>
          <w:sz w:val="24"/>
          <w:szCs w:val="24"/>
          <w:lang w:eastAsia="cs-CZ"/>
        </w:rPr>
        <w:t>dnů nemoci, kdy zaměstnanec pobírá náhradu mzdy nebo platu od zaměstnavatele, náleží n</w:t>
      </w:r>
      <w:r>
        <w:rPr>
          <w:rFonts w:ascii="Times New Roman" w:hAnsi="Times New Roman" w:cs="Times New Roman"/>
          <w:color w:val="00000A"/>
          <w:sz w:val="24"/>
          <w:szCs w:val="24"/>
          <w:lang w:eastAsia="cs-CZ"/>
        </w:rPr>
        <w:t>áhrada mzdy či platu ve výši 60 </w:t>
      </w:r>
      <w:r w:rsidRPr="00815E6A">
        <w:rPr>
          <w:rFonts w:ascii="Times New Roman" w:hAnsi="Times New Roman" w:cs="Times New Roman"/>
          <w:color w:val="00000A"/>
          <w:sz w:val="24"/>
          <w:szCs w:val="24"/>
          <w:lang w:eastAsia="cs-CZ"/>
        </w:rPr>
        <w:t>% průměrného výdělku. Nemocenské z nemocenského p</w:t>
      </w:r>
      <w:r>
        <w:rPr>
          <w:rFonts w:ascii="Times New Roman" w:hAnsi="Times New Roman" w:cs="Times New Roman"/>
          <w:color w:val="00000A"/>
          <w:sz w:val="24"/>
          <w:szCs w:val="24"/>
          <w:lang w:eastAsia="cs-CZ"/>
        </w:rPr>
        <w:t>ojištění je pak vypláceno od 15 </w:t>
      </w:r>
      <w:r w:rsidRPr="00815E6A">
        <w:rPr>
          <w:rFonts w:ascii="Times New Roman" w:hAnsi="Times New Roman" w:cs="Times New Roman"/>
          <w:color w:val="00000A"/>
          <w:sz w:val="24"/>
          <w:szCs w:val="24"/>
          <w:lang w:eastAsia="cs-CZ"/>
        </w:rPr>
        <w:t>dne dočasné pracovní nesch</w:t>
      </w:r>
      <w:r>
        <w:rPr>
          <w:rFonts w:ascii="Times New Roman" w:hAnsi="Times New Roman" w:cs="Times New Roman"/>
          <w:color w:val="00000A"/>
          <w:sz w:val="24"/>
          <w:szCs w:val="24"/>
          <w:lang w:eastAsia="cs-CZ"/>
        </w:rPr>
        <w:t>opnosti, a to ve stejné výši 60 </w:t>
      </w:r>
      <w:r w:rsidRPr="00815E6A">
        <w:rPr>
          <w:rFonts w:ascii="Times New Roman" w:hAnsi="Times New Roman" w:cs="Times New Roman"/>
          <w:color w:val="00000A"/>
          <w:sz w:val="24"/>
          <w:szCs w:val="24"/>
          <w:lang w:eastAsia="cs-CZ"/>
        </w:rPr>
        <w:t>% denního vyměřovacího základu do 30.</w:t>
      </w:r>
      <w:r>
        <w:rPr>
          <w:rFonts w:ascii="Times New Roman" w:hAnsi="Times New Roman" w:cs="Times New Roman"/>
          <w:color w:val="00000A"/>
          <w:sz w:val="24"/>
          <w:szCs w:val="24"/>
          <w:lang w:eastAsia="cs-CZ"/>
        </w:rPr>
        <w:t> </w:t>
      </w:r>
      <w:r w:rsidRPr="00815E6A">
        <w:rPr>
          <w:rFonts w:ascii="Times New Roman" w:hAnsi="Times New Roman" w:cs="Times New Roman"/>
          <w:color w:val="00000A"/>
          <w:sz w:val="24"/>
          <w:szCs w:val="24"/>
          <w:lang w:eastAsia="cs-CZ"/>
        </w:rPr>
        <w:t>kalendářního dne dočasné pracovní neschopnosti. Výše nemocenského se pak zv</w:t>
      </w:r>
      <w:r>
        <w:rPr>
          <w:rFonts w:ascii="Times New Roman" w:hAnsi="Times New Roman" w:cs="Times New Roman"/>
          <w:color w:val="00000A"/>
          <w:sz w:val="24"/>
          <w:szCs w:val="24"/>
          <w:lang w:eastAsia="cs-CZ"/>
        </w:rPr>
        <w:t>yšuje na 66 % do 60 dne a na 72 </w:t>
      </w:r>
      <w:r w:rsidRPr="00815E6A">
        <w:rPr>
          <w:rFonts w:ascii="Times New Roman" w:hAnsi="Times New Roman" w:cs="Times New Roman"/>
          <w:color w:val="00000A"/>
          <w:sz w:val="24"/>
          <w:szCs w:val="24"/>
          <w:lang w:eastAsia="cs-CZ"/>
        </w:rPr>
        <w:t>% denn</w:t>
      </w:r>
      <w:r>
        <w:rPr>
          <w:rFonts w:ascii="Times New Roman" w:hAnsi="Times New Roman" w:cs="Times New Roman"/>
          <w:color w:val="00000A"/>
          <w:sz w:val="24"/>
          <w:szCs w:val="24"/>
          <w:lang w:eastAsia="cs-CZ"/>
        </w:rPr>
        <w:t>ího vyměřovacího základu od 61. </w:t>
      </w:r>
      <w:r w:rsidRPr="00815E6A">
        <w:rPr>
          <w:rFonts w:ascii="Times New Roman" w:hAnsi="Times New Roman" w:cs="Times New Roman"/>
          <w:color w:val="00000A"/>
          <w:sz w:val="24"/>
          <w:szCs w:val="24"/>
          <w:lang w:eastAsia="cs-CZ"/>
        </w:rPr>
        <w:t>dne dočasné pracovní neschopnosti.</w:t>
      </w:r>
    </w:p>
    <w:p w:rsidR="00815E6A" w:rsidRPr="00815E6A" w:rsidRDefault="00815E6A"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815E6A">
        <w:rPr>
          <w:rFonts w:ascii="Times New Roman" w:hAnsi="Times New Roman" w:cs="Times New Roman"/>
          <w:color w:val="00000A"/>
          <w:sz w:val="24"/>
          <w:szCs w:val="24"/>
          <w:lang w:eastAsia="cs-CZ"/>
        </w:rPr>
        <w:t>Stejná pravidla platí i pro dohody o provedení práce a dohody o pracovní činnosti za předpokladu, že se z nich odvádí pojistné na nemocenské pojištění, což je nutné, pokud měsíční odměna z těchto dohod přesáhne – u dohody o pracovní činnosti 3</w:t>
      </w:r>
      <w:r>
        <w:rPr>
          <w:rFonts w:ascii="Times New Roman" w:hAnsi="Times New Roman" w:cs="Times New Roman"/>
          <w:color w:val="00000A"/>
          <w:sz w:val="24"/>
          <w:szCs w:val="24"/>
          <w:lang w:eastAsia="cs-CZ"/>
        </w:rPr>
        <w:t>.</w:t>
      </w:r>
      <w:r w:rsidRPr="00815E6A">
        <w:rPr>
          <w:rFonts w:ascii="Times New Roman" w:hAnsi="Times New Roman" w:cs="Times New Roman"/>
          <w:color w:val="00000A"/>
          <w:sz w:val="24"/>
          <w:szCs w:val="24"/>
          <w:lang w:eastAsia="cs-CZ"/>
        </w:rPr>
        <w:t>000</w:t>
      </w:r>
      <w:r>
        <w:rPr>
          <w:rFonts w:ascii="Times New Roman" w:hAnsi="Times New Roman" w:cs="Times New Roman"/>
          <w:color w:val="00000A"/>
          <w:sz w:val="24"/>
          <w:szCs w:val="24"/>
          <w:lang w:eastAsia="cs-CZ"/>
        </w:rPr>
        <w:t> </w:t>
      </w:r>
      <w:r w:rsidRPr="00815E6A">
        <w:rPr>
          <w:rFonts w:ascii="Times New Roman" w:hAnsi="Times New Roman" w:cs="Times New Roman"/>
          <w:color w:val="00000A"/>
          <w:sz w:val="24"/>
          <w:szCs w:val="24"/>
          <w:lang w:eastAsia="cs-CZ"/>
        </w:rPr>
        <w:t>Kč a u dohody o provedení práce 10</w:t>
      </w:r>
      <w:r>
        <w:rPr>
          <w:rFonts w:ascii="Times New Roman" w:hAnsi="Times New Roman" w:cs="Times New Roman"/>
          <w:color w:val="00000A"/>
          <w:sz w:val="24"/>
          <w:szCs w:val="24"/>
          <w:lang w:eastAsia="cs-CZ"/>
        </w:rPr>
        <w:t>.</w:t>
      </w:r>
      <w:r w:rsidRPr="00815E6A">
        <w:rPr>
          <w:rFonts w:ascii="Times New Roman" w:hAnsi="Times New Roman" w:cs="Times New Roman"/>
          <w:color w:val="00000A"/>
          <w:sz w:val="24"/>
          <w:szCs w:val="24"/>
          <w:lang w:eastAsia="cs-CZ"/>
        </w:rPr>
        <w:t>000</w:t>
      </w:r>
      <w:r>
        <w:rPr>
          <w:rFonts w:ascii="Times New Roman" w:hAnsi="Times New Roman" w:cs="Times New Roman"/>
          <w:color w:val="00000A"/>
          <w:sz w:val="24"/>
          <w:szCs w:val="24"/>
          <w:lang w:eastAsia="cs-CZ"/>
        </w:rPr>
        <w:t> </w:t>
      </w:r>
      <w:r w:rsidRPr="00815E6A">
        <w:rPr>
          <w:rFonts w:ascii="Times New Roman" w:hAnsi="Times New Roman" w:cs="Times New Roman"/>
          <w:color w:val="00000A"/>
          <w:sz w:val="24"/>
          <w:szCs w:val="24"/>
          <w:lang w:eastAsia="cs-CZ"/>
        </w:rPr>
        <w:t>Kč.</w:t>
      </w:r>
    </w:p>
    <w:p w:rsidR="00815E6A" w:rsidRDefault="00815E6A"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815E6A">
        <w:rPr>
          <w:rFonts w:ascii="Times New Roman" w:hAnsi="Times New Roman" w:cs="Times New Roman"/>
          <w:color w:val="00000A"/>
          <w:sz w:val="24"/>
          <w:szCs w:val="24"/>
          <w:lang w:eastAsia="cs-CZ"/>
        </w:rPr>
        <w:t xml:space="preserve">Finanční ztráta, která tímto krokem vznikne zaměstnavatelům, by jim měla být alespoň částečně kompenzována tím, že se jim o dvě desetiny procenta snižuje sazba sociálního pojištění, které odvádí za každého zaměstnance, pojistné na nemocenské pojištění tak </w:t>
      </w:r>
      <w:r>
        <w:rPr>
          <w:rFonts w:ascii="Times New Roman" w:hAnsi="Times New Roman" w:cs="Times New Roman"/>
          <w:color w:val="00000A"/>
          <w:sz w:val="24"/>
          <w:szCs w:val="24"/>
          <w:lang w:eastAsia="cs-CZ"/>
        </w:rPr>
        <w:t>bude činit z celkové sazby 24,8 % 2,1 % na místo dosavadních 2,3 </w:t>
      </w:r>
      <w:r w:rsidRPr="00815E6A">
        <w:rPr>
          <w:rFonts w:ascii="Times New Roman" w:hAnsi="Times New Roman" w:cs="Times New Roman"/>
          <w:color w:val="00000A"/>
          <w:sz w:val="24"/>
          <w:szCs w:val="24"/>
          <w:lang w:eastAsia="cs-CZ"/>
        </w:rPr>
        <w:t>%.</w:t>
      </w:r>
    </w:p>
    <w:p w:rsidR="00815E6A" w:rsidRPr="00815E6A" w:rsidRDefault="00815E6A" w:rsidP="00815E6A">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2" w:name="Odpovednost_drzitele_vodiciho_psa"/>
      <w:r w:rsidRPr="00815E6A">
        <w:rPr>
          <w:rFonts w:ascii="Times New Roman" w:hAnsi="Times New Roman" w:cs="Times New Roman"/>
          <w:b/>
          <w:bCs/>
          <w:color w:val="00000A"/>
          <w:sz w:val="36"/>
          <w:szCs w:val="36"/>
          <w:lang w:eastAsia="cs-CZ"/>
        </w:rPr>
        <w:t>Odpovědnost držitele vodicího psa za škodu podle občanského zákoníku</w:t>
      </w:r>
    </w:p>
    <w:bookmarkEnd w:id="2"/>
    <w:p w:rsidR="00815E6A" w:rsidRPr="00815E6A" w:rsidRDefault="00815E6A"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815E6A">
        <w:rPr>
          <w:rFonts w:ascii="Times New Roman" w:hAnsi="Times New Roman" w:cs="Times New Roman"/>
          <w:color w:val="00000A"/>
          <w:sz w:val="24"/>
          <w:szCs w:val="24"/>
          <w:lang w:eastAsia="cs-CZ"/>
        </w:rPr>
        <w:t xml:space="preserve">Zásadním impulsem k napsání následujících řádků byl dotaz jednoho ze známých českých držitelů vodicích psů, který se právě na </w:t>
      </w:r>
      <w:r w:rsidRPr="005945AB">
        <w:rPr>
          <w:rFonts w:ascii="Times New Roman" w:hAnsi="Times New Roman" w:cs="Times New Roman"/>
          <w:b/>
          <w:color w:val="00000A"/>
          <w:sz w:val="24"/>
          <w:szCs w:val="24"/>
          <w:lang w:eastAsia="cs-CZ"/>
        </w:rPr>
        <w:t>odpovědnost za škodu způsobenou vodicím psem</w:t>
      </w:r>
      <w:r w:rsidRPr="00815E6A">
        <w:rPr>
          <w:rFonts w:ascii="Times New Roman" w:hAnsi="Times New Roman" w:cs="Times New Roman"/>
          <w:color w:val="00000A"/>
          <w:sz w:val="24"/>
          <w:szCs w:val="24"/>
          <w:lang w:eastAsia="cs-CZ"/>
        </w:rPr>
        <w:t xml:space="preserve"> ptal. Ustanoveními, která se této problematiky bezprostředně týkají, jsou paragrafy 2933 </w:t>
      </w:r>
      <w:r>
        <w:rPr>
          <w:rFonts w:ascii="Times New Roman" w:hAnsi="Times New Roman" w:cs="Times New Roman"/>
          <w:color w:val="00000A"/>
          <w:sz w:val="24"/>
          <w:szCs w:val="24"/>
          <w:lang w:eastAsia="cs-CZ"/>
        </w:rPr>
        <w:t>až 2935 občanského zákoníku (z. </w:t>
      </w:r>
      <w:proofErr w:type="gramStart"/>
      <w:r>
        <w:rPr>
          <w:rFonts w:ascii="Times New Roman" w:hAnsi="Times New Roman" w:cs="Times New Roman"/>
          <w:color w:val="00000A"/>
          <w:sz w:val="24"/>
          <w:szCs w:val="24"/>
          <w:lang w:eastAsia="cs-CZ"/>
        </w:rPr>
        <w:t>č.</w:t>
      </w:r>
      <w:proofErr w:type="gramEnd"/>
      <w:r>
        <w:rPr>
          <w:rFonts w:ascii="Times New Roman" w:hAnsi="Times New Roman" w:cs="Times New Roman"/>
          <w:color w:val="00000A"/>
          <w:sz w:val="24"/>
          <w:szCs w:val="24"/>
          <w:lang w:eastAsia="cs-CZ"/>
        </w:rPr>
        <w:t> </w:t>
      </w:r>
      <w:r w:rsidRPr="00815E6A">
        <w:rPr>
          <w:rFonts w:ascii="Times New Roman" w:hAnsi="Times New Roman" w:cs="Times New Roman"/>
          <w:color w:val="00000A"/>
          <w:sz w:val="24"/>
          <w:szCs w:val="24"/>
          <w:lang w:eastAsia="cs-CZ"/>
        </w:rPr>
        <w:t>89/2012 Sb.).</w:t>
      </w:r>
    </w:p>
    <w:p w:rsidR="00815E6A" w:rsidRPr="00815E6A" w:rsidRDefault="00815E6A" w:rsidP="00815E6A">
      <w:pPr>
        <w:widowControl/>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Pr>
          <w:rFonts w:ascii="Times New Roman" w:hAnsi="Times New Roman" w:cs="Times New Roman"/>
          <w:color w:val="00000A"/>
          <w:sz w:val="24"/>
          <w:szCs w:val="24"/>
          <w:lang w:eastAsia="cs-CZ"/>
        </w:rPr>
        <w:t>Nejdříve citujme § </w:t>
      </w:r>
      <w:r w:rsidRPr="00815E6A">
        <w:rPr>
          <w:rFonts w:ascii="Times New Roman" w:hAnsi="Times New Roman" w:cs="Times New Roman"/>
          <w:color w:val="00000A"/>
          <w:sz w:val="24"/>
          <w:szCs w:val="24"/>
          <w:lang w:eastAsia="cs-CZ"/>
        </w:rPr>
        <w:t>2933:</w:t>
      </w:r>
      <w:r>
        <w:rPr>
          <w:rFonts w:ascii="Times New Roman" w:hAnsi="Times New Roman" w:cs="Times New Roman"/>
          <w:color w:val="00000A"/>
          <w:sz w:val="24"/>
          <w:szCs w:val="24"/>
          <w:lang w:eastAsia="cs-CZ"/>
        </w:rPr>
        <w:t xml:space="preserve"> </w:t>
      </w:r>
      <w:r w:rsidRPr="00815E6A">
        <w:rPr>
          <w:rFonts w:ascii="Times New Roman" w:hAnsi="Times New Roman" w:cs="Times New Roman"/>
          <w:i/>
          <w:color w:val="00000A"/>
          <w:sz w:val="24"/>
          <w:szCs w:val="24"/>
          <w:lang w:eastAsia="cs-CZ"/>
        </w:rPr>
        <w:t>„Způsobí-li škodu zvíře, nahradí ji jeho vlastník, ať již bylo pod jeho dohledem nebo pod dohledem osoby, které vlastník zvíře svěřil, anebo se zatoulalo nebo uprchlo. Osoba, které zvíře bylo svěřeno nebo která zvíře chová nebo jinak používá, nahradí škodu způsobenou zvířetem společně a nerozdílně s vlastníkem.“</w:t>
      </w:r>
    </w:p>
    <w:p w:rsidR="00815E6A" w:rsidRPr="00815E6A" w:rsidRDefault="00815E6A"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815E6A">
        <w:rPr>
          <w:rFonts w:ascii="Times New Roman" w:hAnsi="Times New Roman" w:cs="Times New Roman"/>
          <w:color w:val="00000A"/>
          <w:sz w:val="24"/>
          <w:szCs w:val="24"/>
          <w:lang w:eastAsia="cs-CZ"/>
        </w:rPr>
        <w:lastRenderedPageBreak/>
        <w:t>Toto ustanovení zakládá tzv. objektivní odpovědnost vlastníka zvířete, popř. jiného jeho faktického držitele vůči každé osobě, které zvíře způsobí škodu. K úspěšnému uplatnění náhrady škody tedy poškozenému postačí, pokud prokáže, že ke škodě skutečně došlo (předloží potvrzení od lékaře, že byl zraněn, předloží fotografii dokládající, že jeho oplocení pozemku bylo zničeno sousedovým zvířetem, a podobně) a prokáže, že zde byla příčinná souvislost mezi chováním zvířete a vznikem škody, tedy že ono zranění bylo způsobeno skutečně psem majitele, jehož žaluje. V tomto případě by se soud již vůbec nezabýval tím, zda vlastník zvířete mohl či nemohl škodě předejít, zda udělal vše, aby psovi v pokousání souseda zabránil, zda plot, který pes při pokousání kolemjdoucího přeskočil, byl či nebyl dostatečně vysoký, a tak dále. Odpovědnost zde bude vždy, bez ohledu na míru zavinění majitele psa.</w:t>
      </w:r>
    </w:p>
    <w:p w:rsidR="00815E6A" w:rsidRPr="00815E6A" w:rsidRDefault="00815E6A"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815E6A">
        <w:rPr>
          <w:rFonts w:ascii="Times New Roman" w:hAnsi="Times New Roman" w:cs="Times New Roman"/>
          <w:color w:val="00000A"/>
          <w:sz w:val="24"/>
          <w:szCs w:val="24"/>
          <w:lang w:eastAsia="cs-CZ"/>
        </w:rPr>
        <w:t>K držitelům vodicích psů však zákon tak striktní není. Ustanove</w:t>
      </w:r>
      <w:r w:rsidR="00A108BF">
        <w:rPr>
          <w:rFonts w:ascii="Times New Roman" w:hAnsi="Times New Roman" w:cs="Times New Roman"/>
          <w:color w:val="00000A"/>
          <w:sz w:val="24"/>
          <w:szCs w:val="24"/>
          <w:lang w:eastAsia="cs-CZ"/>
        </w:rPr>
        <w:t>ní § </w:t>
      </w:r>
      <w:r w:rsidRPr="00815E6A">
        <w:rPr>
          <w:rFonts w:ascii="Times New Roman" w:hAnsi="Times New Roman" w:cs="Times New Roman"/>
          <w:color w:val="00000A"/>
          <w:sz w:val="24"/>
          <w:szCs w:val="24"/>
          <w:lang w:eastAsia="cs-CZ"/>
        </w:rPr>
        <w:t>2934 totiž říká:</w:t>
      </w:r>
      <w:r w:rsidR="00A108BF">
        <w:rPr>
          <w:rFonts w:ascii="Times New Roman" w:hAnsi="Times New Roman" w:cs="Times New Roman"/>
          <w:color w:val="00000A"/>
          <w:sz w:val="24"/>
          <w:szCs w:val="24"/>
          <w:lang w:eastAsia="cs-CZ"/>
        </w:rPr>
        <w:t xml:space="preserve"> </w:t>
      </w:r>
      <w:r w:rsidRPr="00A108BF">
        <w:rPr>
          <w:rFonts w:ascii="Times New Roman" w:hAnsi="Times New Roman" w:cs="Times New Roman"/>
          <w:i/>
          <w:color w:val="00000A"/>
          <w:sz w:val="24"/>
          <w:szCs w:val="24"/>
          <w:lang w:eastAsia="cs-CZ"/>
        </w:rPr>
        <w:t>„Slouží-li domácí zvíře vlastníku k výkonu povolání či k jiné výdělečné činnosti nebo k obživě, anebo slouží-li jako pomocník pro osobu se zdravotním postižením, zprostí se vlastník povinnosti k</w:t>
      </w:r>
      <w:r w:rsidR="00A108BF">
        <w:rPr>
          <w:rFonts w:ascii="Times New Roman" w:hAnsi="Times New Roman" w:cs="Times New Roman"/>
          <w:i/>
          <w:color w:val="00000A"/>
          <w:sz w:val="24"/>
          <w:szCs w:val="24"/>
          <w:lang w:eastAsia="cs-CZ"/>
        </w:rPr>
        <w:t> </w:t>
      </w:r>
      <w:r w:rsidRPr="00A108BF">
        <w:rPr>
          <w:rFonts w:ascii="Times New Roman" w:hAnsi="Times New Roman" w:cs="Times New Roman"/>
          <w:i/>
          <w:color w:val="00000A"/>
          <w:sz w:val="24"/>
          <w:szCs w:val="24"/>
          <w:lang w:eastAsia="cs-CZ"/>
        </w:rPr>
        <w:t>náhradě, prokáže-li, že při dozoru nad zvířetem nezanedbal potřebnou pečlivost, anebo že by škoda vznikla i při vynaložení potřebné pečlivosti.“</w:t>
      </w:r>
    </w:p>
    <w:p w:rsidR="00815E6A" w:rsidRPr="00815E6A" w:rsidRDefault="00815E6A" w:rsidP="00815E6A">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815E6A">
        <w:rPr>
          <w:rFonts w:ascii="Times New Roman" w:hAnsi="Times New Roman" w:cs="Times New Roman"/>
          <w:color w:val="00000A"/>
          <w:sz w:val="24"/>
          <w:szCs w:val="24"/>
          <w:lang w:eastAsia="cs-CZ"/>
        </w:rPr>
        <w:t>Protože nemáme k dispozici soudní judikát, který by vyložil, co má zákon potřebnou pečlivostí přesně na mysli, pokusím se – s rizikem, že soud by situaci posoudil jinak, posloužit vlastním příkladem: představme si, že by vodicí pes učitele hudby znečistil ve třídě hudební školy koberec takovým způsobem, že by bylo nutné jej nec</w:t>
      </w:r>
      <w:r w:rsidR="005945AB">
        <w:rPr>
          <w:rFonts w:ascii="Times New Roman" w:hAnsi="Times New Roman" w:cs="Times New Roman"/>
          <w:color w:val="00000A"/>
          <w:sz w:val="24"/>
          <w:szCs w:val="24"/>
          <w:lang w:eastAsia="cs-CZ"/>
        </w:rPr>
        <w:t>hat profesionálně vyčistit a </w:t>
      </w:r>
      <w:r w:rsidRPr="00815E6A">
        <w:rPr>
          <w:rFonts w:ascii="Times New Roman" w:hAnsi="Times New Roman" w:cs="Times New Roman"/>
          <w:color w:val="00000A"/>
          <w:sz w:val="24"/>
          <w:szCs w:val="24"/>
          <w:lang w:eastAsia="cs-CZ"/>
        </w:rPr>
        <w:t>ředitel hudební školy by se rozhodl po učiteli žádat uhrazení ná</w:t>
      </w:r>
      <w:r w:rsidR="005945AB">
        <w:rPr>
          <w:rFonts w:ascii="Times New Roman" w:hAnsi="Times New Roman" w:cs="Times New Roman"/>
          <w:color w:val="00000A"/>
          <w:sz w:val="24"/>
          <w:szCs w:val="24"/>
          <w:lang w:eastAsia="cs-CZ"/>
        </w:rPr>
        <w:t>kladů vzniklých v souvislosti s </w:t>
      </w:r>
      <w:r w:rsidRPr="00815E6A">
        <w:rPr>
          <w:rFonts w:ascii="Times New Roman" w:hAnsi="Times New Roman" w:cs="Times New Roman"/>
          <w:color w:val="00000A"/>
          <w:sz w:val="24"/>
          <w:szCs w:val="24"/>
          <w:lang w:eastAsia="cs-CZ"/>
        </w:rPr>
        <w:t>vyčištěním koberce. Pokud by nešlo o psa vodicího, byl by učitel jistě povinen náklady uhradit. Jestliže by však šlo o škodu způsobenou psem vodicím, pak by jeho majitel, který by prokázal, že psa ten den řádně venčil a ke znečištění došlo např. z důvodů nějaké nenadálé střevní komplikace, mohl uspět, a soud by patrně tohoto škůdce povinnosti nahradit škodu zprostil.</w:t>
      </w:r>
    </w:p>
    <w:p w:rsidR="00815E6A" w:rsidRPr="005945AB" w:rsidRDefault="00815E6A" w:rsidP="00815E6A">
      <w:pPr>
        <w:widowControl/>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r w:rsidRPr="005945AB">
        <w:rPr>
          <w:rFonts w:ascii="Times New Roman" w:hAnsi="Times New Roman" w:cs="Times New Roman"/>
          <w:b/>
          <w:color w:val="00000A"/>
          <w:sz w:val="24"/>
          <w:szCs w:val="24"/>
          <w:lang w:eastAsia="cs-CZ"/>
        </w:rPr>
        <w:t>Nezbývá, než majitelům vodicích psů doporučit, aby se slovy zákona snažili potřebnou pečlivost svým pomocníkům věnovat, aby tak vzniku škody pokud možno předešli, popř. se byli schopni z odpovědnosti za škodu způsobenou jejich psy vyvinit.</w:t>
      </w:r>
    </w:p>
    <w:p w:rsidR="00E557E9" w:rsidRPr="00E53F2F" w:rsidRDefault="00E54BBA" w:rsidP="00E53F2F">
      <w:pPr>
        <w:widowControl/>
        <w:tabs>
          <w:tab w:val="right" w:pos="9072"/>
        </w:tabs>
        <w:overflowPunct w:val="0"/>
        <w:spacing w:before="840" w:after="100" w:afterAutospacing="1" w:line="240" w:lineRule="auto"/>
        <w:ind w:firstLine="0"/>
        <w:rPr>
          <w:rFonts w:ascii="Times New Roman" w:hAnsi="Times New Roman" w:cs="Times New Roman"/>
        </w:rPr>
      </w:pPr>
      <w:r w:rsidRPr="00E53F2F">
        <w:rPr>
          <w:rFonts w:ascii="Times New Roman" w:hAnsi="Times New Roman" w:cs="Times New Roman"/>
          <w:color w:val="00000A"/>
          <w:sz w:val="24"/>
          <w:szCs w:val="24"/>
          <w:lang w:eastAsia="cs-CZ"/>
        </w:rPr>
        <w:t>Za Sociálně právní poradnu SONS v</w:t>
      </w:r>
      <w:r w:rsidR="000153BD" w:rsidRPr="00E53F2F">
        <w:rPr>
          <w:rFonts w:ascii="Times New Roman" w:hAnsi="Times New Roman" w:cs="Times New Roman"/>
          <w:color w:val="00000A"/>
          <w:sz w:val="24"/>
          <w:szCs w:val="24"/>
          <w:lang w:eastAsia="cs-CZ"/>
        </w:rPr>
        <w:t> </w:t>
      </w:r>
      <w:r w:rsidRPr="00E53F2F">
        <w:rPr>
          <w:rFonts w:ascii="Times New Roman" w:hAnsi="Times New Roman" w:cs="Times New Roman"/>
          <w:color w:val="00000A"/>
          <w:sz w:val="24"/>
          <w:szCs w:val="24"/>
          <w:lang w:eastAsia="cs-CZ"/>
        </w:rPr>
        <w:t>Praze</w:t>
      </w:r>
      <w:r w:rsidR="000153BD" w:rsidRPr="00E53F2F">
        <w:rPr>
          <w:rFonts w:ascii="Times New Roman" w:hAnsi="Times New Roman" w:cs="Times New Roman"/>
          <w:color w:val="00000A"/>
          <w:sz w:val="24"/>
          <w:szCs w:val="24"/>
          <w:lang w:eastAsia="cs-CZ"/>
        </w:rPr>
        <w:tab/>
      </w:r>
      <w:r w:rsidR="00CE5475" w:rsidRPr="00E53F2F">
        <w:rPr>
          <w:rFonts w:ascii="Times New Roman" w:hAnsi="Times New Roman" w:cs="Times New Roman"/>
          <w:b/>
          <w:i/>
          <w:color w:val="00000A"/>
          <w:sz w:val="24"/>
          <w:szCs w:val="24"/>
          <w:lang w:eastAsia="cs-CZ"/>
        </w:rPr>
        <w:t>Luboš Zajíc</w:t>
      </w:r>
    </w:p>
    <w:sectPr w:rsidR="00E557E9" w:rsidRPr="00E53F2F"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1">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4">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13"/>
  </w:num>
  <w:num w:numId="6">
    <w:abstractNumId w:val="2"/>
  </w:num>
  <w:num w:numId="7">
    <w:abstractNumId w:val="7"/>
  </w:num>
  <w:num w:numId="8">
    <w:abstractNumId w:val="16"/>
  </w:num>
  <w:num w:numId="9">
    <w:abstractNumId w:val="9"/>
  </w:num>
  <w:num w:numId="10">
    <w:abstractNumId w:val="4"/>
  </w:num>
  <w:num w:numId="11">
    <w:abstractNumId w:val="6"/>
  </w:num>
  <w:num w:numId="12">
    <w:abstractNumId w:val="5"/>
  </w:num>
  <w:num w:numId="13">
    <w:abstractNumId w:val="1"/>
  </w:num>
  <w:num w:numId="14">
    <w:abstractNumId w:val="15"/>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E2700"/>
    <w:rsid w:val="0012602C"/>
    <w:rsid w:val="001B3C11"/>
    <w:rsid w:val="00275895"/>
    <w:rsid w:val="0028284A"/>
    <w:rsid w:val="00373FF0"/>
    <w:rsid w:val="003F23F2"/>
    <w:rsid w:val="00457DF9"/>
    <w:rsid w:val="0048651A"/>
    <w:rsid w:val="004D1C77"/>
    <w:rsid w:val="004D2192"/>
    <w:rsid w:val="004D74FA"/>
    <w:rsid w:val="00520303"/>
    <w:rsid w:val="005546C1"/>
    <w:rsid w:val="005945AB"/>
    <w:rsid w:val="005F17F8"/>
    <w:rsid w:val="00623CF4"/>
    <w:rsid w:val="0069006D"/>
    <w:rsid w:val="006C0F0E"/>
    <w:rsid w:val="006C385A"/>
    <w:rsid w:val="006E5F7C"/>
    <w:rsid w:val="0071291E"/>
    <w:rsid w:val="0072554B"/>
    <w:rsid w:val="00753FF9"/>
    <w:rsid w:val="00754FE6"/>
    <w:rsid w:val="00791A90"/>
    <w:rsid w:val="007949F0"/>
    <w:rsid w:val="007D367D"/>
    <w:rsid w:val="00805E2D"/>
    <w:rsid w:val="00815E6A"/>
    <w:rsid w:val="00851380"/>
    <w:rsid w:val="00865F2A"/>
    <w:rsid w:val="00883957"/>
    <w:rsid w:val="008B0567"/>
    <w:rsid w:val="0094210C"/>
    <w:rsid w:val="00960C57"/>
    <w:rsid w:val="009C045C"/>
    <w:rsid w:val="009F0739"/>
    <w:rsid w:val="00A108BF"/>
    <w:rsid w:val="00AC5736"/>
    <w:rsid w:val="00BD6FB6"/>
    <w:rsid w:val="00C27805"/>
    <w:rsid w:val="00C83A0F"/>
    <w:rsid w:val="00CB5127"/>
    <w:rsid w:val="00CC21B3"/>
    <w:rsid w:val="00CE5475"/>
    <w:rsid w:val="00D40C12"/>
    <w:rsid w:val="00E06244"/>
    <w:rsid w:val="00E20FB3"/>
    <w:rsid w:val="00E25085"/>
    <w:rsid w:val="00E3673B"/>
    <w:rsid w:val="00E53F2F"/>
    <w:rsid w:val="00E54BBA"/>
    <w:rsid w:val="00E557E9"/>
    <w:rsid w:val="00EF50C9"/>
    <w:rsid w:val="00F076C8"/>
    <w:rsid w:val="00F81F3F"/>
    <w:rsid w:val="00FC24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26A0-932C-4C01-90D9-B8EFE591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768</Words>
  <Characters>4535</Characters>
  <Application>Microsoft Office Word</Application>
  <DocSecurity>0</DocSecurity>
  <Lines>37</Lines>
  <Paragraphs>10</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08/2019</vt:lpstr>
      <vt:lpstr>    Konec karenční doby</vt:lpstr>
      <vt:lpstr>    Odpovědnost držitele vodicího psa za škodu podle občanského zákoníku</vt:lpstr>
    </vt:vector>
  </TitlesOfParts>
  <Company>Hewlett-Packard Company</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5</cp:revision>
  <dcterms:created xsi:type="dcterms:W3CDTF">2020-04-20T11:46:00Z</dcterms:created>
  <dcterms:modified xsi:type="dcterms:W3CDTF">2020-04-20T13:39:00Z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