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E9" w:rsidRPr="00E53F2F" w:rsidRDefault="00E06244">
      <w:pPr>
        <w:widowControl/>
        <w:overflowPunct w:val="0"/>
        <w:spacing w:beforeAutospacing="1" w:afterAutospacing="1" w:line="240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Informace a odpovědi na dotazy ze Sociáln</w:t>
      </w:r>
      <w:r w:rsidR="004D1C77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 xml:space="preserve">ě právní poradny SONS v Praze </w:t>
      </w:r>
      <w:r w:rsidR="00C61953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0</w:t>
      </w:r>
      <w:r w:rsidR="00541F14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4</w:t>
      </w:r>
      <w:r w:rsidR="005546C1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/20</w:t>
      </w:r>
      <w:r w:rsidR="00982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20</w:t>
      </w:r>
    </w:p>
    <w:p w:rsidR="00695AC1" w:rsidRPr="00695AC1" w:rsidRDefault="00541F14" w:rsidP="00695AC1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 dubnovém článku z pražské poradny Vás čekají následující témata:</w:t>
      </w:r>
    </w:p>
    <w:p w:rsidR="00541F14" w:rsidRPr="00541F14" w:rsidRDefault="00541F14" w:rsidP="00541F14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1F14">
        <w:rPr>
          <w:rFonts w:ascii="Times New Roman" w:hAnsi="Times New Roman" w:cs="Times New Roman"/>
          <w:sz w:val="24"/>
          <w:szCs w:val="24"/>
        </w:rPr>
        <w:t xml:space="preserve">malá </w:t>
      </w:r>
      <w:hyperlink w:anchor="Oprava_k_danovemu_bonusu" w:history="1">
        <w:r w:rsidRPr="00270CEB">
          <w:rPr>
            <w:rStyle w:val="Hypertextovodkaz"/>
            <w:rFonts w:ascii="Times New Roman" w:hAnsi="Times New Roman" w:cs="Times New Roman"/>
            <w:sz w:val="24"/>
            <w:szCs w:val="24"/>
          </w:rPr>
          <w:t>oprava k informaci z minulého článku o daňovém bonusu</w:t>
        </w:r>
      </w:hyperlink>
    </w:p>
    <w:p w:rsidR="00541F14" w:rsidRPr="00541F14" w:rsidRDefault="00541F14" w:rsidP="00541F14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1F14">
        <w:rPr>
          <w:rFonts w:ascii="Times New Roman" w:hAnsi="Times New Roman" w:cs="Times New Roman"/>
          <w:sz w:val="24"/>
          <w:szCs w:val="24"/>
        </w:rPr>
        <w:t xml:space="preserve">krátká informace </w:t>
      </w:r>
      <w:hyperlink w:anchor="Zmena_zakona_o_poskytytovani_davek_OZP" w:history="1">
        <w:r w:rsidRPr="00270CEB">
          <w:rPr>
            <w:rStyle w:val="Hypertextovodkaz"/>
            <w:rFonts w:ascii="Times New Roman" w:hAnsi="Times New Roman" w:cs="Times New Roman"/>
            <w:sz w:val="24"/>
            <w:szCs w:val="24"/>
          </w:rPr>
          <w:t>o změně zákona o poskytování dávek osobám se zdravotním postižením</w:t>
        </w:r>
      </w:hyperlink>
      <w:r w:rsidRPr="00541F14">
        <w:rPr>
          <w:rFonts w:ascii="Times New Roman" w:hAnsi="Times New Roman" w:cs="Times New Roman"/>
          <w:sz w:val="24"/>
          <w:szCs w:val="24"/>
        </w:rPr>
        <w:t>,</w:t>
      </w:r>
    </w:p>
    <w:p w:rsidR="00541F14" w:rsidRPr="00541F14" w:rsidRDefault="00270CEB" w:rsidP="00541F14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w:anchor="Neprizniva_informace_k_bilym_holim" w:history="1">
        <w:r w:rsidR="00541F14" w:rsidRPr="00270CEB">
          <w:rPr>
            <w:rStyle w:val="Hypertextovodkaz"/>
            <w:rFonts w:ascii="Times New Roman" w:hAnsi="Times New Roman" w:cs="Times New Roman"/>
            <w:sz w:val="24"/>
            <w:szCs w:val="24"/>
          </w:rPr>
          <w:t>nepříznivá zpráva o doplatcích na bílé hole</w:t>
        </w:r>
      </w:hyperlink>
      <w:r w:rsidR="00541F14" w:rsidRPr="00541F14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541F14" w:rsidRDefault="00541F14" w:rsidP="00541F14">
      <w:pPr>
        <w:widowControl/>
        <w:numPr>
          <w:ilvl w:val="0"/>
          <w:numId w:val="1"/>
        </w:numPr>
        <w:overflowPunct w:val="0"/>
        <w:spacing w:beforeAutospacing="1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41F14">
        <w:rPr>
          <w:rFonts w:ascii="Times New Roman" w:hAnsi="Times New Roman" w:cs="Times New Roman"/>
          <w:sz w:val="24"/>
          <w:szCs w:val="24"/>
        </w:rPr>
        <w:t xml:space="preserve">protože jde o článek dubnový, jemuž by odlehčení naší jindy o serióznost usilující rubriky snad mohlo slušet, vás na konci čeká </w:t>
      </w:r>
      <w:hyperlink w:anchor="Maly_aprilovy_obcanskopravni_kviz" w:history="1">
        <w:r w:rsidRPr="00270CEB">
          <w:rPr>
            <w:rStyle w:val="Hypertextovodkaz"/>
            <w:rFonts w:ascii="Times New Roman" w:hAnsi="Times New Roman" w:cs="Times New Roman"/>
            <w:sz w:val="24"/>
            <w:szCs w:val="24"/>
          </w:rPr>
          <w:t>malý aprílový občanskoprávní kvíz</w:t>
        </w:r>
      </w:hyperlink>
      <w:r w:rsidRPr="00541F14">
        <w:rPr>
          <w:rFonts w:ascii="Times New Roman" w:hAnsi="Times New Roman" w:cs="Times New Roman"/>
          <w:sz w:val="24"/>
          <w:szCs w:val="24"/>
        </w:rPr>
        <w:t>.</w:t>
      </w:r>
    </w:p>
    <w:p w:rsidR="00815E6A" w:rsidRPr="00E53F2F" w:rsidRDefault="00541F14" w:rsidP="00AB5D5E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0" w:name="Osetrovne"/>
      <w:bookmarkStart w:id="1" w:name="Oprava_k_danovemu_bonusu"/>
      <w:r w:rsidRPr="00541F14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Oprava k daňovému bonusu</w:t>
      </w:r>
    </w:p>
    <w:bookmarkEnd w:id="0"/>
    <w:bookmarkEnd w:id="1"/>
    <w:p w:rsidR="00541F14" w:rsidRDefault="00541F14" w:rsidP="00695AC1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 článku 3/2020 jsem uvedl, že pro uplatnění daňového zvýhodnění na vyživované dítě formou daňového bonusu se do příjmů poplatníka nezapočítávají příjmy, z nichž se daň odvádí srážkou z daně, např. tedy odměna z dohody o provedení práce. Tato informace není správná, do příjmů se započítávají všechny příjmy ze závislé činnosti i příjmy ze samostatné výdělečné činnosti, nezapočítávají se jen tzv. pasivní příjmy, z kapitálového majetku a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pronájmu. Za upozornění na tuto chybu děkuji pozornému čtenáři z Náchodska.</w:t>
      </w:r>
    </w:p>
    <w:p w:rsidR="00541F14" w:rsidRPr="00E53F2F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2" w:name="Zmena_zakona_o_poskytytovani_davek_OZP"/>
      <w:r w:rsidRPr="00541F14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Ke změně zákona o poskytování dávek osobám se zdravotním postižením</w:t>
      </w:r>
    </w:p>
    <w:bookmarkEnd w:id="2"/>
    <w:p w:rsidR="00541F14" w:rsidRDefault="00541F14" w:rsidP="00695AC1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 účinností od 1. března 2020 došlo ke změně zákona o poskytování dávek osobám se zdravotním postižením, který upravuje pro nás důležité příspěvky, a to na mobilitu, na zvláštní pomůcku, a také nárok na průkaz osoby se zdravotním postižením. Změny, které novela č. 228/2019 Sb. přinesla, jsou zajímavé z hlediska osob s jiným zdravotním postižením než zrakovým, pro nás se nemění vůbec nic. Změny se týkají příspěvku na pořízení motorového vozidla, na který, jak známo, z důvodu zrakového postižení nárok nevzniká. Další změnou je pak rozšíření okruhu lidí, kteří mají nárok na příspěvek na zvláštní pomůcku, a to o osoby mající zdravotní postižení interní povahy způsobující těžké omezení pohyblivosti. Seznam těchto postižení obsahuje 12 položek zahrnujících nemoci srdce, plic a</w:t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další.</w:t>
      </w:r>
    </w:p>
    <w:p w:rsidR="00541F14" w:rsidRPr="00E53F2F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3" w:name="Neprizniva_informace_k_bilym_holim"/>
      <w:r w:rsidRPr="00541F14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Nepříznivá informace k bílým holím</w:t>
      </w:r>
    </w:p>
    <w:bookmarkEnd w:id="3"/>
    <w:p w:rsidR="00541F14" w:rsidRPr="00541F14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Když jsem naposledy referoval o změnách v úhradě zdravotnických prostředků z veřejného zdravotního pojištění, uvedl jsem, že doplatky, které musíme platit od 1. prosince 2019 při pořizování bílých i červenobílých holí, by se měly radikálně snížit, resp. u většiny bílých holí odpadnout, a to zhruba od 1. července 2020. Tento termín byl uváděn i při jednání pracovní skupiny pro zdravotnické prostředky při Pacientské radě v srpnu 2019, stejně tak ještě na jednání Pacientské rady 30. září.</w:t>
      </w:r>
    </w:p>
    <w:p w:rsidR="00541F14" w:rsidRDefault="00541F14" w:rsidP="00695AC1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Ovšem při setkání stejné pracovní skupiny 10. února tohoto roku již bylo jasně řečeno, že novela zákona o veřejném zdravotním pojištění bude účinná nejdříve od 1. ledna 2021. Za SONS jsem na jednání vyjádřil s tímto časovým posunem značnou nespokojenost, ale tím naše možnosti ovlivnit tempo legislativního procesu končí. To znamená, že současný stav, </w:t>
      </w: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lastRenderedPageBreak/>
        <w:t>kdy je nutné si na bílé hole orientační připlácet kolem dvou set korun, o něco více ještě na bílé hole opěrné potrvá nejméně po celý tento kalendářní rok.</w:t>
      </w:r>
    </w:p>
    <w:p w:rsidR="00541F14" w:rsidRPr="00E53F2F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outlineLvl w:val="1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4" w:name="Maly_aprilovy_obcanskopravni_kviz"/>
      <w:r w:rsidRPr="00541F14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Malý aprílový občanskoprávní kvíz</w:t>
      </w:r>
    </w:p>
    <w:bookmarkEnd w:id="4"/>
    <w:p w:rsidR="00541F14" w:rsidRPr="00541F14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 sestavení následujícího kvízu mě inspiroval jazyk, který používá staronový občanský zákoník, který je účinný již více než šest let, ale stále umí překvapit.</w:t>
      </w:r>
    </w:p>
    <w:p w:rsidR="00541F14" w:rsidRPr="00903724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</w:pPr>
      <w:r w:rsidRPr="00903724">
        <w:rPr>
          <w:rFonts w:ascii="Times New Roman" w:hAnsi="Times New Roman" w:cs="Times New Roman"/>
          <w:b/>
          <w:color w:val="00000A"/>
          <w:sz w:val="24"/>
          <w:szCs w:val="24"/>
          <w:u w:val="single"/>
          <w:lang w:eastAsia="cs-CZ"/>
        </w:rPr>
        <w:t>Víte, co znamenají následující pojmy: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Odúmrť: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neslušná nadávka;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pozůstalost, kterou zdědí stát, protože neexistuje jiný právoplatný dědic;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odpadnutí části těla v důsledku závažné choroby, nebo působení jiné osoby.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proofErr w:type="spellStart"/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Pachtovné</w:t>
      </w:r>
      <w:proofErr w:type="spellEnd"/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dávka náležející oběti trestného činu, kterou je povinen platit jeho pachatel;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poplatek kompenzující zápach šířící se z pozemku, na němž je skladován hnůj;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poplatek za pronájem věci, z níž má nájemce užitek, např. zemědělské půdy.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Závdavek: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preventivní ponaučení zákonného zástupce učiněné fyzickým působením na svého potomka;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věcné plnění snoubence před uzavřením manželství, poskytnuté s cílem zajištění budoucího závazku;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plnění jednoho z kontrahentů při uzavření smlouvy, kterým poskytuje druhé straně jistotu, že má v úmyslu závazek určený smlouvou plnit.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Služebnost: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věcné právo postihující vlastníka věci tak, že musí ve prospěch jiného něco trpět či něčeho se zdržet;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titul udělovaný nejvýkonnějším sluhům či služkám, jeho držitelé pak byli oslovováni „vaše služebnosti“;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hanlivý název pro nekvalitně poskytnutou službu.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Novace: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změna obsahu závazku, která starý závazek zruší;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neověřená zpráva ČTK;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změna, která měla výrazně zlepšit fungování složitého systému, avšak drobným opomenutím podstatného detailu došlo k absolutnímu </w:t>
      </w:r>
      <w:proofErr w:type="spellStart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znefunkčnění</w:t>
      </w:r>
      <w:proofErr w:type="spellEnd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.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Adhezní smlouva: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smlouva sepsaná na mírně lepkavém formuláři;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smlouva, které ani jedna ze smluvních stran nerozumí;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smlouva uzavřená pomocí formuláře, do kterého slabší smluvní strana prakticky nemá možnost zasáhnout.</w:t>
      </w:r>
    </w:p>
    <w:p w:rsidR="00541F14" w:rsidRPr="00270CEB" w:rsidRDefault="00541F14" w:rsidP="00903724">
      <w:pPr>
        <w:pStyle w:val="Odstavecseseznamem"/>
        <w:widowControl/>
        <w:numPr>
          <w:ilvl w:val="0"/>
          <w:numId w:val="28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</w:pPr>
      <w:r w:rsidRPr="00270CEB">
        <w:rPr>
          <w:rFonts w:ascii="Times New Roman" w:hAnsi="Times New Roman" w:cs="Times New Roman"/>
          <w:color w:val="00000A"/>
          <w:sz w:val="24"/>
          <w:szCs w:val="24"/>
          <w:u w:val="single"/>
          <w:lang w:eastAsia="cs-CZ"/>
        </w:rPr>
        <w:t>Dovětek: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přezdívka uved</w:t>
      </w:r>
      <w:bookmarkStart w:id="5" w:name="_GoBack"/>
      <w:bookmarkEnd w:id="5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ená namísto podpisu, chráněná autorským právem stejně jako pseudonym;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vyjádření poslední vůle zůstavitele, v níž může nařídit odkaz, stanovit </w:t>
      </w:r>
      <w:proofErr w:type="spellStart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odkazovníku</w:t>
      </w:r>
      <w:proofErr w:type="spellEnd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nebo dědici podmínku, nebo doložit čas anebo uložit </w:t>
      </w:r>
      <w:proofErr w:type="spellStart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odkazovníku</w:t>
      </w:r>
      <w:proofErr w:type="spellEnd"/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nebo dědici příkaz;</w:t>
      </w:r>
    </w:p>
    <w:p w:rsidR="00541F14" w:rsidRPr="00903724" w:rsidRDefault="00541F14" w:rsidP="00903724">
      <w:pPr>
        <w:pStyle w:val="Odstavecseseznamem"/>
        <w:widowControl/>
        <w:numPr>
          <w:ilvl w:val="1"/>
          <w:numId w:val="31"/>
        </w:numPr>
        <w:overflowPunct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stručný závěr stati, jímž je popřen předchozí výklad.</w:t>
      </w:r>
    </w:p>
    <w:p w:rsidR="00541F14" w:rsidRPr="00541F14" w:rsidRDefault="00541F14" w:rsidP="00541F1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Pro případ pochybností u některé z odpovědí uvádím správné řešení:</w:t>
      </w:r>
    </w:p>
    <w:p w:rsidR="00541F14" w:rsidRPr="00903724" w:rsidRDefault="00903724" w:rsidP="00903724">
      <w:pPr>
        <w:widowControl/>
        <w:overflowPunct w:val="0"/>
        <w:spacing w:before="100" w:beforeAutospacing="1" w:after="100" w:afterAutospacing="1" w:line="240" w:lineRule="auto"/>
        <w:ind w:firstLine="0"/>
        <w:jc w:val="right"/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</w:pPr>
      <w:r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1.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b. |</w:t>
      </w:r>
      <w:r w:rsidR="00541F14"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2.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c. |</w:t>
      </w:r>
      <w:r w:rsidR="00541F14"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3.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c. |</w:t>
      </w:r>
      <w:r w:rsidR="00541F14"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4.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a. |</w:t>
      </w:r>
      <w:r w:rsidR="00541F14"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5.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a. |</w:t>
      </w:r>
      <w:r w:rsidR="00541F14"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6.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c. |</w:t>
      </w:r>
      <w:r w:rsidR="00541F14" w:rsidRPr="00903724"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 xml:space="preserve"> 7.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cs-CZ"/>
        </w:rPr>
        <w:t>b.</w:t>
      </w:r>
    </w:p>
    <w:p w:rsidR="003749FB" w:rsidRDefault="003749FB" w:rsidP="003749FB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</w:p>
    <w:p w:rsidR="00E557E9" w:rsidRPr="00811C40" w:rsidRDefault="00541F14" w:rsidP="00811C40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</w:pPr>
      <w:r w:rsidRPr="00541F14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Za Sociálně právní poradnu SONS v Praze</w:t>
      </w:r>
      <w:r w:rsidR="00811C4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 w:rsidR="00EB1C12" w:rsidRPr="00811C40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Luboš Zajíc</w:t>
      </w:r>
    </w:p>
    <w:sectPr w:rsidR="00E557E9" w:rsidRPr="00811C40" w:rsidSect="004D2192">
      <w:pgSz w:w="11906" w:h="16838"/>
      <w:pgMar w:top="1134" w:right="1418" w:bottom="1134" w:left="1418" w:header="0" w:footer="0" w:gutter="0"/>
      <w:cols w:space="708"/>
      <w:formProt w:val="0"/>
      <w:docGrid w:linePitch="360" w:charSpace="-18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07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EB2"/>
    <w:multiLevelType w:val="hybridMultilevel"/>
    <w:tmpl w:val="37EE2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1D6"/>
    <w:multiLevelType w:val="multilevel"/>
    <w:tmpl w:val="DDEAF722"/>
    <w:lvl w:ilvl="0">
      <w:start w:val="1"/>
      <w:numFmt w:val="bullet"/>
      <w:lvlText w:val=""/>
      <w:lvlJc w:val="left"/>
      <w:pPr>
        <w:tabs>
          <w:tab w:val="num" w:pos="962"/>
        </w:tabs>
        <w:ind w:left="9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22"/>
        </w:tabs>
        <w:ind w:left="13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2"/>
        </w:tabs>
        <w:ind w:left="16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2"/>
        </w:tabs>
        <w:ind w:left="20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2"/>
        </w:tabs>
        <w:ind w:left="24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2"/>
        </w:tabs>
        <w:ind w:left="27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2"/>
        </w:tabs>
        <w:ind w:left="31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2"/>
        </w:tabs>
        <w:ind w:left="34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2"/>
        </w:tabs>
        <w:ind w:left="3842" w:hanging="360"/>
      </w:pPr>
      <w:rPr>
        <w:rFonts w:ascii="OpenSymbol" w:hAnsi="OpenSymbol" w:cs="OpenSymbol" w:hint="default"/>
      </w:rPr>
    </w:lvl>
  </w:abstractNum>
  <w:abstractNum w:abstractNumId="2">
    <w:nsid w:val="11354804"/>
    <w:multiLevelType w:val="hybridMultilevel"/>
    <w:tmpl w:val="245894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11DA7"/>
    <w:multiLevelType w:val="hybridMultilevel"/>
    <w:tmpl w:val="47120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B97"/>
    <w:multiLevelType w:val="hybridMultilevel"/>
    <w:tmpl w:val="BBF89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5121"/>
    <w:multiLevelType w:val="multilevel"/>
    <w:tmpl w:val="5F2CB948"/>
    <w:lvl w:ilvl="0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75"/>
        </w:tabs>
        <w:ind w:left="13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35"/>
        </w:tabs>
        <w:ind w:left="17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55"/>
        </w:tabs>
        <w:ind w:left="24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15"/>
        </w:tabs>
        <w:ind w:left="28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35"/>
        </w:tabs>
        <w:ind w:left="35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95"/>
        </w:tabs>
        <w:ind w:left="3895" w:hanging="360"/>
      </w:pPr>
      <w:rPr>
        <w:rFonts w:ascii="OpenSymbol" w:hAnsi="OpenSymbol" w:cs="OpenSymbol" w:hint="default"/>
      </w:rPr>
    </w:lvl>
  </w:abstractNum>
  <w:abstractNum w:abstractNumId="6">
    <w:nsid w:val="2E425CC9"/>
    <w:multiLevelType w:val="hybridMultilevel"/>
    <w:tmpl w:val="AA52B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96EB5"/>
    <w:multiLevelType w:val="hybridMultilevel"/>
    <w:tmpl w:val="E07A5B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55147"/>
    <w:multiLevelType w:val="hybridMultilevel"/>
    <w:tmpl w:val="A490B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F2A2E"/>
    <w:multiLevelType w:val="hybridMultilevel"/>
    <w:tmpl w:val="BFEC5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44CE1"/>
    <w:multiLevelType w:val="hybridMultilevel"/>
    <w:tmpl w:val="3834B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76C97"/>
    <w:multiLevelType w:val="hybridMultilevel"/>
    <w:tmpl w:val="6B52A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B1D4B"/>
    <w:multiLevelType w:val="multilevel"/>
    <w:tmpl w:val="08E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E8E0961"/>
    <w:multiLevelType w:val="hybridMultilevel"/>
    <w:tmpl w:val="1FE8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25BB1"/>
    <w:multiLevelType w:val="multilevel"/>
    <w:tmpl w:val="BFB2AC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04C6BD2"/>
    <w:multiLevelType w:val="hybridMultilevel"/>
    <w:tmpl w:val="CAF6D3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786888">
      <w:start w:val="1"/>
      <w:numFmt w:val="lowerLetter"/>
      <w:lvlText w:val="%2."/>
      <w:lvlJc w:val="left"/>
      <w:pPr>
        <w:ind w:left="357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0477"/>
    <w:multiLevelType w:val="hybridMultilevel"/>
    <w:tmpl w:val="696CD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11C02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80BFC"/>
    <w:multiLevelType w:val="hybridMultilevel"/>
    <w:tmpl w:val="F1C011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6FD153A"/>
    <w:multiLevelType w:val="hybridMultilevel"/>
    <w:tmpl w:val="FE04759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8082045"/>
    <w:multiLevelType w:val="hybridMultilevel"/>
    <w:tmpl w:val="75FCD4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52B3D"/>
    <w:multiLevelType w:val="multilevel"/>
    <w:tmpl w:val="696CD3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97754"/>
    <w:multiLevelType w:val="hybridMultilevel"/>
    <w:tmpl w:val="47DAC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416C1"/>
    <w:multiLevelType w:val="hybridMultilevel"/>
    <w:tmpl w:val="2892E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A5448"/>
    <w:multiLevelType w:val="hybridMultilevel"/>
    <w:tmpl w:val="081EAC9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5C22228"/>
    <w:multiLevelType w:val="hybridMultilevel"/>
    <w:tmpl w:val="125E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E3564"/>
    <w:multiLevelType w:val="hybridMultilevel"/>
    <w:tmpl w:val="EA266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36D49"/>
    <w:multiLevelType w:val="hybridMultilevel"/>
    <w:tmpl w:val="A42E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B7D4C"/>
    <w:multiLevelType w:val="hybridMultilevel"/>
    <w:tmpl w:val="20DC0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D21EF"/>
    <w:multiLevelType w:val="hybridMultilevel"/>
    <w:tmpl w:val="0D968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21"/>
  </w:num>
  <w:num w:numId="6">
    <w:abstractNumId w:val="4"/>
  </w:num>
  <w:num w:numId="7">
    <w:abstractNumId w:val="10"/>
  </w:num>
  <w:num w:numId="8">
    <w:abstractNumId w:val="28"/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26"/>
  </w:num>
  <w:num w:numId="15">
    <w:abstractNumId w:val="16"/>
  </w:num>
  <w:num w:numId="16">
    <w:abstractNumId w:val="25"/>
  </w:num>
  <w:num w:numId="17">
    <w:abstractNumId w:val="20"/>
  </w:num>
  <w:num w:numId="18">
    <w:abstractNumId w:val="23"/>
  </w:num>
  <w:num w:numId="19">
    <w:abstractNumId w:val="18"/>
  </w:num>
  <w:num w:numId="20">
    <w:abstractNumId w:val="17"/>
  </w:num>
  <w:num w:numId="21">
    <w:abstractNumId w:val="19"/>
  </w:num>
  <w:num w:numId="22">
    <w:abstractNumId w:val="11"/>
  </w:num>
  <w:num w:numId="23">
    <w:abstractNumId w:val="27"/>
  </w:num>
  <w:num w:numId="24">
    <w:abstractNumId w:val="9"/>
  </w:num>
  <w:num w:numId="25">
    <w:abstractNumId w:val="24"/>
  </w:num>
  <w:num w:numId="26">
    <w:abstractNumId w:val="22"/>
  </w:num>
  <w:num w:numId="27">
    <w:abstractNumId w:val="0"/>
  </w:num>
  <w:num w:numId="28">
    <w:abstractNumId w:val="15"/>
  </w:num>
  <w:num w:numId="29">
    <w:abstractNumId w:val="3"/>
  </w:num>
  <w:num w:numId="30">
    <w:abstractNumId w:val="15"/>
    <w:lvlOverride w:ilvl="0">
      <w:lvl w:ilvl="0" w:tplc="FFFFFFFF">
        <w:start w:val="1"/>
        <w:numFmt w:val="lowerLetter"/>
        <w:lvlText w:val="%1."/>
        <w:lvlJc w:val="left"/>
        <w:pPr>
          <w:ind w:left="567" w:hanging="210"/>
        </w:pPr>
        <w:rPr>
          <w:rFonts w:hint="default"/>
        </w:rPr>
      </w:lvl>
    </w:lvlOverride>
    <w:lvlOverride w:ilvl="1">
      <w:lvl w:ilvl="1" w:tplc="8178688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5"/>
    <w:lvlOverride w:ilvl="0">
      <w:lvl w:ilvl="0" w:tplc="FFFFFFFF">
        <w:start w:val="1"/>
        <w:numFmt w:val="lowerLetter"/>
        <w:lvlText w:val="%1."/>
        <w:lvlJc w:val="left"/>
        <w:pPr>
          <w:ind w:left="454" w:firstLine="0"/>
        </w:pPr>
        <w:rPr>
          <w:rFonts w:hint="default"/>
        </w:rPr>
      </w:lvl>
    </w:lvlOverride>
    <w:lvlOverride w:ilvl="1">
      <w:lvl w:ilvl="1" w:tplc="8178688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E9"/>
    <w:rsid w:val="000077CB"/>
    <w:rsid w:val="000153BD"/>
    <w:rsid w:val="0004425F"/>
    <w:rsid w:val="00044D9B"/>
    <w:rsid w:val="0007282D"/>
    <w:rsid w:val="000E2700"/>
    <w:rsid w:val="0012602C"/>
    <w:rsid w:val="00126C81"/>
    <w:rsid w:val="00193F70"/>
    <w:rsid w:val="001B3C11"/>
    <w:rsid w:val="001D6A3E"/>
    <w:rsid w:val="001E4C47"/>
    <w:rsid w:val="00250155"/>
    <w:rsid w:val="00270CEB"/>
    <w:rsid w:val="00275895"/>
    <w:rsid w:val="0028284A"/>
    <w:rsid w:val="002965AB"/>
    <w:rsid w:val="002B0694"/>
    <w:rsid w:val="00373FF0"/>
    <w:rsid w:val="003749FB"/>
    <w:rsid w:val="003950BB"/>
    <w:rsid w:val="003968B9"/>
    <w:rsid w:val="003F23F2"/>
    <w:rsid w:val="00423D4D"/>
    <w:rsid w:val="00424BE7"/>
    <w:rsid w:val="00457DF9"/>
    <w:rsid w:val="0048651A"/>
    <w:rsid w:val="004C3DB8"/>
    <w:rsid w:val="004C3DE7"/>
    <w:rsid w:val="004D1C77"/>
    <w:rsid w:val="004D2192"/>
    <w:rsid w:val="004D74FA"/>
    <w:rsid w:val="00520303"/>
    <w:rsid w:val="00541F14"/>
    <w:rsid w:val="005546C1"/>
    <w:rsid w:val="00580515"/>
    <w:rsid w:val="005945AB"/>
    <w:rsid w:val="005C78F0"/>
    <w:rsid w:val="005F17F8"/>
    <w:rsid w:val="00623CF4"/>
    <w:rsid w:val="00640C8E"/>
    <w:rsid w:val="0069006D"/>
    <w:rsid w:val="00695AC1"/>
    <w:rsid w:val="006C0F0E"/>
    <w:rsid w:val="006C385A"/>
    <w:rsid w:val="006E5F7C"/>
    <w:rsid w:val="0071291E"/>
    <w:rsid w:val="0072554B"/>
    <w:rsid w:val="00753FF9"/>
    <w:rsid w:val="00754FE6"/>
    <w:rsid w:val="007767C1"/>
    <w:rsid w:val="00791A90"/>
    <w:rsid w:val="007949F0"/>
    <w:rsid w:val="007D367D"/>
    <w:rsid w:val="00805E2D"/>
    <w:rsid w:val="00806F7C"/>
    <w:rsid w:val="00811C40"/>
    <w:rsid w:val="00815E6A"/>
    <w:rsid w:val="00851380"/>
    <w:rsid w:val="00865F2A"/>
    <w:rsid w:val="00883957"/>
    <w:rsid w:val="008B0567"/>
    <w:rsid w:val="00903724"/>
    <w:rsid w:val="00940C4B"/>
    <w:rsid w:val="0094210C"/>
    <w:rsid w:val="00960C57"/>
    <w:rsid w:val="00974388"/>
    <w:rsid w:val="00982F2F"/>
    <w:rsid w:val="009C045C"/>
    <w:rsid w:val="009E5CF3"/>
    <w:rsid w:val="009F0739"/>
    <w:rsid w:val="009F5C35"/>
    <w:rsid w:val="00A108BF"/>
    <w:rsid w:val="00A218FB"/>
    <w:rsid w:val="00A90483"/>
    <w:rsid w:val="00AB5D5E"/>
    <w:rsid w:val="00AC5736"/>
    <w:rsid w:val="00B2179A"/>
    <w:rsid w:val="00B53DFB"/>
    <w:rsid w:val="00B76419"/>
    <w:rsid w:val="00BD6FB6"/>
    <w:rsid w:val="00BE0FFA"/>
    <w:rsid w:val="00BE78E5"/>
    <w:rsid w:val="00C27805"/>
    <w:rsid w:val="00C55BAD"/>
    <w:rsid w:val="00C61953"/>
    <w:rsid w:val="00C83A0F"/>
    <w:rsid w:val="00C872FD"/>
    <w:rsid w:val="00CB5127"/>
    <w:rsid w:val="00CC21B3"/>
    <w:rsid w:val="00CE5475"/>
    <w:rsid w:val="00D315DA"/>
    <w:rsid w:val="00D40C12"/>
    <w:rsid w:val="00D6751A"/>
    <w:rsid w:val="00DC247A"/>
    <w:rsid w:val="00DF3215"/>
    <w:rsid w:val="00E06244"/>
    <w:rsid w:val="00E20FB3"/>
    <w:rsid w:val="00E25085"/>
    <w:rsid w:val="00E3673B"/>
    <w:rsid w:val="00E53F2F"/>
    <w:rsid w:val="00E54BBA"/>
    <w:rsid w:val="00E557E9"/>
    <w:rsid w:val="00EB1C12"/>
    <w:rsid w:val="00EF4131"/>
    <w:rsid w:val="00EF50C9"/>
    <w:rsid w:val="00F076C8"/>
    <w:rsid w:val="00F53F0F"/>
    <w:rsid w:val="00F62CFC"/>
    <w:rsid w:val="00F81F3F"/>
    <w:rsid w:val="00FB46EC"/>
    <w:rsid w:val="00FC2446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229D-CEA1-48FD-9F1F-343E7CEB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771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Informace a odpovědi na dotazy ze Sociálně právní poradny SONS v Praze 04/2020</vt:lpstr>
      <vt:lpstr>    Oprava k daňovému bonusu</vt:lpstr>
      <vt:lpstr>    Ke změně zákona o poskytování dávek osobám se zdravotním postižením</vt:lpstr>
      <vt:lpstr>    Nepříznivá informace k bílým holím</vt:lpstr>
      <vt:lpstr>    Malý aprílový občanskoprávní kvíz</vt:lpstr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Petr Jasinský</cp:lastModifiedBy>
  <cp:revision>3</cp:revision>
  <dcterms:created xsi:type="dcterms:W3CDTF">2020-05-18T13:02:00Z</dcterms:created>
  <dcterms:modified xsi:type="dcterms:W3CDTF">2020-05-18T13:56:00Z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